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75" w:rsidRPr="00902BB3" w:rsidRDefault="00C57175" w:rsidP="00C57175">
      <w:pPr>
        <w:spacing w:line="260" w:lineRule="exact"/>
        <w:jc w:val="center"/>
        <w:rPr>
          <w:rFonts w:asciiTheme="minorHAnsi" w:hAnsiTheme="minorHAnsi"/>
          <w:b/>
          <w:bCs/>
          <w:color w:val="1F3864" w:themeColor="accent5" w:themeShade="80"/>
          <w:sz w:val="24"/>
          <w:szCs w:val="24"/>
        </w:rPr>
      </w:pPr>
      <w:r w:rsidRPr="00902BB3">
        <w:rPr>
          <w:rFonts w:asciiTheme="minorHAnsi" w:hAnsiTheme="minorHAnsi"/>
          <w:b/>
          <w:bCs/>
          <w:color w:val="1F3864" w:themeColor="accent5" w:themeShade="80"/>
          <w:sz w:val="24"/>
          <w:szCs w:val="24"/>
        </w:rPr>
        <w:t>CREDITO VALTELLINESE SCEGLIE LA PIATTAFORMA DI BONIFICO ISTANTANEO DI NEXI</w:t>
      </w:r>
    </w:p>
    <w:p w:rsidR="00C57175" w:rsidRPr="00902BB3" w:rsidRDefault="00C57175" w:rsidP="00C57175">
      <w:pPr>
        <w:spacing w:line="260" w:lineRule="exact"/>
        <w:jc w:val="center"/>
        <w:rPr>
          <w:rFonts w:asciiTheme="minorHAnsi" w:hAnsiTheme="minorHAnsi"/>
          <w:bCs/>
          <w:i/>
          <w:color w:val="1F3864" w:themeColor="accent5" w:themeShade="80"/>
        </w:rPr>
      </w:pPr>
      <w:r w:rsidRPr="00902BB3">
        <w:rPr>
          <w:rFonts w:asciiTheme="minorHAnsi" w:hAnsiTheme="minorHAnsi"/>
          <w:bCs/>
          <w:i/>
          <w:color w:val="1F3864" w:themeColor="accent5" w:themeShade="80"/>
        </w:rPr>
        <w:t xml:space="preserve">Da oggi i clienti di </w:t>
      </w:r>
      <w:proofErr w:type="spellStart"/>
      <w:r w:rsidRPr="00902BB3">
        <w:rPr>
          <w:rFonts w:asciiTheme="minorHAnsi" w:hAnsiTheme="minorHAnsi"/>
          <w:bCs/>
          <w:i/>
          <w:color w:val="1F3864" w:themeColor="accent5" w:themeShade="80"/>
        </w:rPr>
        <w:t>Creval</w:t>
      </w:r>
      <w:proofErr w:type="spellEnd"/>
      <w:r w:rsidRPr="00902BB3">
        <w:rPr>
          <w:rFonts w:asciiTheme="minorHAnsi" w:hAnsiTheme="minorHAnsi"/>
          <w:bCs/>
          <w:i/>
          <w:color w:val="1F3864" w:themeColor="accent5" w:themeShade="80"/>
        </w:rPr>
        <w:t xml:space="preserve"> possono trasferire e ricevere denaro da conto a conto </w:t>
      </w:r>
      <w:r w:rsidRPr="00902BB3">
        <w:rPr>
          <w:rFonts w:asciiTheme="minorHAnsi" w:hAnsiTheme="minorHAnsi"/>
          <w:bCs/>
          <w:i/>
          <w:color w:val="1F3864" w:themeColor="accent5" w:themeShade="80"/>
        </w:rPr>
        <w:br/>
        <w:t>in meno di 1 secondo, 24 ore al giorno, 365 giorni all’anno.</w:t>
      </w:r>
    </w:p>
    <w:p w:rsidR="00C57175" w:rsidRPr="00902BB3" w:rsidRDefault="00C57175" w:rsidP="00C57175">
      <w:pPr>
        <w:spacing w:line="260" w:lineRule="exact"/>
        <w:jc w:val="center"/>
        <w:rPr>
          <w:rFonts w:asciiTheme="minorHAnsi" w:hAnsiTheme="minorHAnsi"/>
          <w:bCs/>
          <w:i/>
          <w:color w:val="1F3864" w:themeColor="accent5" w:themeShade="80"/>
        </w:rPr>
      </w:pPr>
      <w:r w:rsidRPr="00902BB3">
        <w:rPr>
          <w:rFonts w:asciiTheme="minorHAnsi" w:hAnsiTheme="minorHAnsi"/>
          <w:bCs/>
          <w:i/>
          <w:color w:val="1F3864" w:themeColor="accent5" w:themeShade="80"/>
        </w:rPr>
        <w:t xml:space="preserve">La piattaforma di Nexi consente di raggiungere le più grandi banche italiane ed europee </w:t>
      </w:r>
      <w:r w:rsidRPr="00902BB3">
        <w:rPr>
          <w:rFonts w:asciiTheme="minorHAnsi" w:hAnsiTheme="minorHAnsi"/>
          <w:bCs/>
          <w:i/>
          <w:color w:val="1F3864" w:themeColor="accent5" w:themeShade="80"/>
        </w:rPr>
        <w:br/>
        <w:t xml:space="preserve">a oggi attive sugli </w:t>
      </w:r>
      <w:proofErr w:type="spellStart"/>
      <w:r w:rsidRPr="00902BB3">
        <w:rPr>
          <w:rFonts w:asciiTheme="minorHAnsi" w:hAnsiTheme="minorHAnsi"/>
          <w:bCs/>
          <w:i/>
          <w:color w:val="1F3864" w:themeColor="accent5" w:themeShade="80"/>
        </w:rPr>
        <w:t>Instant</w:t>
      </w:r>
      <w:proofErr w:type="spellEnd"/>
      <w:r w:rsidRPr="00902BB3">
        <w:rPr>
          <w:rFonts w:asciiTheme="minorHAnsi" w:hAnsiTheme="minorHAnsi"/>
          <w:bCs/>
          <w:i/>
          <w:color w:val="1F3864" w:themeColor="accent5" w:themeShade="80"/>
        </w:rPr>
        <w:t xml:space="preserve"> </w:t>
      </w:r>
      <w:proofErr w:type="spellStart"/>
      <w:r w:rsidRPr="00902BB3">
        <w:rPr>
          <w:rFonts w:asciiTheme="minorHAnsi" w:hAnsiTheme="minorHAnsi"/>
          <w:bCs/>
          <w:i/>
          <w:color w:val="1F3864" w:themeColor="accent5" w:themeShade="80"/>
        </w:rPr>
        <w:t>Payments</w:t>
      </w:r>
      <w:proofErr w:type="spellEnd"/>
      <w:r w:rsidRPr="00902BB3">
        <w:rPr>
          <w:rFonts w:asciiTheme="minorHAnsi" w:hAnsiTheme="minorHAnsi"/>
          <w:bCs/>
          <w:i/>
          <w:color w:val="1F3864" w:themeColor="accent5" w:themeShade="80"/>
        </w:rPr>
        <w:t xml:space="preserve">. </w:t>
      </w:r>
    </w:p>
    <w:p w:rsidR="007600C8" w:rsidRPr="00902BB3" w:rsidRDefault="007600C8" w:rsidP="007600C8">
      <w:pPr>
        <w:spacing w:before="120" w:after="0"/>
        <w:jc w:val="center"/>
        <w:rPr>
          <w:rFonts w:asciiTheme="minorHAnsi" w:hAnsiTheme="minorHAnsi"/>
          <w:b/>
          <w:bCs/>
          <w:color w:val="1F3864" w:themeColor="accent5" w:themeShade="80"/>
        </w:rPr>
      </w:pP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color w:val="1F3864" w:themeColor="accent5" w:themeShade="80"/>
        </w:rPr>
      </w:pPr>
      <w:r w:rsidRPr="00902BB3">
        <w:rPr>
          <w:rFonts w:asciiTheme="minorHAnsi" w:hAnsiTheme="minorHAnsi" w:cs="Tahoma"/>
          <w:b/>
          <w:bCs/>
          <w:color w:val="1F3864" w:themeColor="accent5" w:themeShade="80"/>
        </w:rPr>
        <w:t xml:space="preserve">Milano </w:t>
      </w:r>
      <w:r w:rsidR="00902BB3">
        <w:rPr>
          <w:rFonts w:asciiTheme="minorHAnsi" w:hAnsiTheme="minorHAnsi" w:cs="Tahoma"/>
          <w:b/>
          <w:bCs/>
          <w:color w:val="1F3864" w:themeColor="accent5" w:themeShade="80"/>
        </w:rPr>
        <w:t>17</w:t>
      </w:r>
      <w:r w:rsidRPr="00902BB3">
        <w:rPr>
          <w:rFonts w:asciiTheme="minorHAnsi" w:hAnsiTheme="minorHAnsi" w:cs="Tahoma"/>
          <w:b/>
          <w:bCs/>
          <w:color w:val="1F3864" w:themeColor="accent5" w:themeShade="80"/>
        </w:rPr>
        <w:t xml:space="preserve"> maggio 2018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– </w:t>
      </w:r>
      <w:proofErr w:type="spellStart"/>
      <w:r w:rsidRPr="00902BB3">
        <w:rPr>
          <w:rFonts w:asciiTheme="minorHAnsi" w:hAnsiTheme="minorHAnsi" w:cs="Tahoma"/>
          <w:bCs/>
          <w:color w:val="1F3864" w:themeColor="accent5" w:themeShade="80"/>
        </w:rPr>
        <w:t>Creval</w:t>
      </w:r>
      <w:proofErr w:type="spellEnd"/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ha scelto la piattaforma di bonifico istantaneo di Nexi, leader italiano nei pagamenti digitali, per consentire ai propri correntisti di trasferire e ricevere denaro in 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pochi attimi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, 24 ore al giorno e 365 giorni all’anno.</w:t>
      </w: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color w:val="1F3864" w:themeColor="accent5" w:themeShade="80"/>
        </w:rPr>
        <w:t>Credito Valtellinese che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insieme a Nexi, è stata la prima banca in Italia a effettuare 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scambi in produzione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su bonific</w:t>
      </w:r>
      <w:r w:rsidR="000C7225" w:rsidRPr="00902BB3">
        <w:rPr>
          <w:rFonts w:asciiTheme="minorHAnsi" w:hAnsiTheme="minorHAnsi" w:cs="Tahoma"/>
          <w:bCs/>
          <w:color w:val="1F3864" w:themeColor="accent5" w:themeShade="80"/>
        </w:rPr>
        <w:t>i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istantane</w:t>
      </w:r>
      <w:r w:rsidR="000C7225" w:rsidRPr="00902BB3">
        <w:rPr>
          <w:rFonts w:asciiTheme="minorHAnsi" w:hAnsiTheme="minorHAnsi" w:cs="Tahoma"/>
          <w:bCs/>
          <w:color w:val="1F3864" w:themeColor="accent5" w:themeShade="80"/>
        </w:rPr>
        <w:t>i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già a fine 2017, oggi mette a disposizione dei propri clienti un servizio pienamente operativo per aziende, privati e professionisti</w:t>
      </w:r>
      <w:r w:rsidR="000C7225" w:rsidRPr="00902BB3">
        <w:rPr>
          <w:rFonts w:asciiTheme="minorHAnsi" w:hAnsiTheme="minorHAnsi" w:cs="Tahoma"/>
          <w:bCs/>
          <w:color w:val="1F3864" w:themeColor="accent5" w:themeShade="80"/>
        </w:rPr>
        <w:t>, aprendo nuove</w:t>
      </w:r>
      <w:r w:rsidR="002615AE" w:rsidRPr="00902BB3">
        <w:rPr>
          <w:rFonts w:asciiTheme="minorHAnsi" w:hAnsiTheme="minorHAnsi" w:cs="Tahoma"/>
          <w:bCs/>
          <w:color w:val="1F3864" w:themeColor="accent5" w:themeShade="80"/>
        </w:rPr>
        <w:t xml:space="preserve"> importanti</w:t>
      </w:r>
      <w:r w:rsidR="000C7225" w:rsidRPr="00902BB3">
        <w:rPr>
          <w:rFonts w:asciiTheme="minorHAnsi" w:hAnsiTheme="minorHAnsi" w:cs="Tahoma"/>
          <w:bCs/>
          <w:color w:val="1F3864" w:themeColor="accent5" w:themeShade="80"/>
        </w:rPr>
        <w:t xml:space="preserve"> possibilità di utilizzo, </w:t>
      </w:r>
      <w:r w:rsidR="002615AE" w:rsidRPr="00902BB3">
        <w:rPr>
          <w:rFonts w:asciiTheme="minorHAnsi" w:hAnsiTheme="minorHAnsi" w:cs="Tahoma"/>
          <w:bCs/>
          <w:color w:val="1F3864" w:themeColor="accent5" w:themeShade="80"/>
        </w:rPr>
        <w:t xml:space="preserve">consentendo </w:t>
      </w:r>
      <w:r w:rsidR="000C7225" w:rsidRPr="00902BB3">
        <w:rPr>
          <w:rFonts w:asciiTheme="minorHAnsi" w:hAnsiTheme="minorHAnsi" w:cs="Tahoma"/>
          <w:bCs/>
          <w:color w:val="1F3864" w:themeColor="accent5" w:themeShade="80"/>
        </w:rPr>
        <w:t>maggior comodità e minori costi.</w:t>
      </w: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Grazie all’accordo con </w:t>
      </w:r>
      <w:proofErr w:type="spellStart"/>
      <w:r w:rsidRPr="00902BB3">
        <w:rPr>
          <w:rFonts w:asciiTheme="minorHAnsi" w:hAnsiTheme="minorHAnsi" w:cs="Tahoma"/>
          <w:bCs/>
          <w:color w:val="1F3864" w:themeColor="accent5" w:themeShade="80"/>
        </w:rPr>
        <w:t>Eba</w:t>
      </w:r>
      <w:proofErr w:type="spellEnd"/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Clearing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 xml:space="preserve"> e, a fine anno, il collegamento con </w:t>
      </w:r>
      <w:proofErr w:type="spellStart"/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Tips</w:t>
      </w:r>
      <w:proofErr w:type="spellEnd"/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la piattaforma di Nexi garantisce la raggiungibilità delle banche italiane e di tutte le banche europee che progressivamente saranno attive sugli </w:t>
      </w:r>
      <w:proofErr w:type="spellStart"/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I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nstant</w:t>
      </w:r>
      <w:proofErr w:type="spellEnd"/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</w:t>
      </w:r>
      <w:proofErr w:type="spellStart"/>
      <w:r w:rsidRPr="00902BB3">
        <w:rPr>
          <w:rFonts w:asciiTheme="minorHAnsi" w:hAnsiTheme="minorHAnsi" w:cs="Tahoma"/>
          <w:bCs/>
          <w:color w:val="1F3864" w:themeColor="accent5" w:themeShade="80"/>
        </w:rPr>
        <w:t>payments</w:t>
      </w:r>
      <w:proofErr w:type="spellEnd"/>
      <w:r w:rsidR="00B40108" w:rsidRPr="00902BB3">
        <w:rPr>
          <w:rFonts w:asciiTheme="minorHAnsi" w:hAnsiTheme="minorHAnsi" w:cs="Tahoma"/>
          <w:bCs/>
          <w:color w:val="1F3864" w:themeColor="accent5" w:themeShade="80"/>
        </w:rPr>
        <w:t xml:space="preserve"> nei 34 Paesi dell’Area SEPA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. </w:t>
      </w: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“Il bonifico istantaneo – afferma </w:t>
      </w:r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Roberto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Tarricone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,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Chief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 Commercial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Officer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 di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Creval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 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– ci permette di rispondere a un’esigenza concreta di famiglie e imprese: tutti i nostri clienti da oggi potranno trasferire denaro in modo sicuro, intuitivo e finalmente in “</w:t>
      </w:r>
      <w:proofErr w:type="spellStart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real</w:t>
      </w:r>
      <w:proofErr w:type="spellEnd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time”, senza attendere i tempi tecnici di accredito del bonifico tradizionale o senza doversi recare in filiale per richiedere l’emissione di assegni circolari. In Italia, ad esempio, i casi di compravendita tra privati e di svincolo immediato delle spedizioni di merci saranno fortemente agevolati dal bonifico istantaneo”</w:t>
      </w: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i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“La nostra piattaforma” - afferma </w:t>
      </w:r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Renato Martini,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Payments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 &amp; ATM </w:t>
      </w:r>
      <w:proofErr w:type="spellStart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>Director</w:t>
      </w:r>
      <w:proofErr w:type="spellEnd"/>
      <w:r w:rsidRPr="00902BB3">
        <w:rPr>
          <w:rFonts w:asciiTheme="minorHAnsi" w:hAnsiTheme="minorHAnsi" w:cs="Tahoma"/>
          <w:b/>
          <w:bCs/>
          <w:i/>
          <w:color w:val="1F3864" w:themeColor="accent5" w:themeShade="80"/>
        </w:rPr>
        <w:t xml:space="preserve"> di Nexi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- “si basa su una tecnologia che deriva da un sistema già utilizzato da alcune banche leader sul mercato scandinavo: questo garantisce tempi di risposta</w:t>
      </w:r>
      <w:r w:rsidR="004F142F"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della piattaforma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vicini ai 250 millisecondi e un livello di servizio già testato, prossimo al 100%</w:t>
      </w:r>
      <w:r w:rsidR="004F142F" w:rsidRPr="00902BB3">
        <w:rPr>
          <w:rFonts w:asciiTheme="minorHAnsi" w:hAnsiTheme="minorHAnsi" w:cs="Tahoma"/>
          <w:bCs/>
          <w:i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anche su volumi di oltre 200 milioni di transazioni all’anno. È inoltre interoperabile a livello europeo ed è sviluppata in piena conformità con le specifiche definite dall’</w:t>
      </w:r>
      <w:proofErr w:type="spellStart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European</w:t>
      </w:r>
      <w:proofErr w:type="spellEnd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</w:t>
      </w:r>
      <w:proofErr w:type="spellStart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Payment</w:t>
      </w:r>
      <w:proofErr w:type="spellEnd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</w:t>
      </w:r>
      <w:proofErr w:type="spellStart"/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Council</w:t>
      </w:r>
      <w:proofErr w:type="spellEnd"/>
      <w:r w:rsidR="00B40108"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. Grazie agli </w:t>
      </w:r>
      <w:proofErr w:type="spellStart"/>
      <w:r w:rsidR="00B40108" w:rsidRPr="00902BB3">
        <w:rPr>
          <w:rFonts w:asciiTheme="minorHAnsi" w:hAnsiTheme="minorHAnsi" w:cs="Tahoma"/>
          <w:bCs/>
          <w:i/>
          <w:color w:val="1F3864" w:themeColor="accent5" w:themeShade="80"/>
        </w:rPr>
        <w:t>Instant</w:t>
      </w:r>
      <w:proofErr w:type="spellEnd"/>
      <w:r w:rsidR="00B40108"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</w:t>
      </w:r>
      <w:proofErr w:type="spellStart"/>
      <w:r w:rsidR="00B40108" w:rsidRPr="00902BB3">
        <w:rPr>
          <w:rFonts w:asciiTheme="minorHAnsi" w:hAnsiTheme="minorHAnsi" w:cs="Tahoma"/>
          <w:bCs/>
          <w:i/>
          <w:color w:val="1F3864" w:themeColor="accent5" w:themeShade="80"/>
        </w:rPr>
        <w:t>payments</w:t>
      </w:r>
      <w:proofErr w:type="spellEnd"/>
      <w:r w:rsidR="00B40108" w:rsidRPr="00902BB3">
        <w:rPr>
          <w:rFonts w:asciiTheme="minorHAnsi" w:hAnsiTheme="minorHAnsi" w:cs="Tahoma"/>
          <w:bCs/>
          <w:i/>
          <w:color w:val="1F3864" w:themeColor="accent5" w:themeShade="80"/>
        </w:rPr>
        <w:t xml:space="preserve"> </w:t>
      </w:r>
      <w:r w:rsidR="00B40108" w:rsidRPr="00902BB3">
        <w:rPr>
          <w:rFonts w:asciiTheme="minorHAnsi" w:hAnsiTheme="minorHAnsi" w:cs="Tahoma"/>
          <w:bCs/>
          <w:color w:val="1F3864" w:themeColor="accent5" w:themeShade="80"/>
        </w:rPr>
        <w:t>sono attesi forti benefici in termini di efficienza operativa e risparmi di costo legati a minore uso del contante e degli strumenti cartacei (es. Assegni)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”.</w:t>
      </w:r>
    </w:p>
    <w:p w:rsidR="00C57175" w:rsidRPr="00902BB3" w:rsidRDefault="00C57175" w:rsidP="00C57175">
      <w:pPr>
        <w:spacing w:line="260" w:lineRule="exact"/>
        <w:jc w:val="both"/>
        <w:rPr>
          <w:rFonts w:asciiTheme="minorHAnsi" w:hAnsiTheme="minorHAnsi" w:cs="Tahoma"/>
          <w:bCs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La soluzione di </w:t>
      </w:r>
      <w:proofErr w:type="spellStart"/>
      <w:r w:rsidRPr="00902BB3">
        <w:rPr>
          <w:rFonts w:asciiTheme="minorHAnsi" w:hAnsiTheme="minorHAnsi" w:cs="Tahoma"/>
          <w:bCs/>
          <w:color w:val="1F3864" w:themeColor="accent5" w:themeShade="80"/>
        </w:rPr>
        <w:t>Nexi</w:t>
      </w:r>
      <w:proofErr w:type="spellEnd"/>
      <w:r w:rsidRPr="00902BB3">
        <w:rPr>
          <w:rFonts w:asciiTheme="minorHAnsi" w:hAnsiTheme="minorHAnsi" w:cs="Tahoma"/>
          <w:bCs/>
          <w:color w:val="1F3864" w:themeColor="accent5" w:themeShade="80"/>
        </w:rPr>
        <w:t>, end</w:t>
      </w:r>
      <w:r w:rsidR="00B40108" w:rsidRPr="00902BB3">
        <w:rPr>
          <w:rFonts w:asciiTheme="minorHAnsi" w:hAnsiTheme="minorHAnsi" w:cs="Tahoma"/>
          <w:bCs/>
          <w:color w:val="1F3864" w:themeColor="accent5" w:themeShade="80"/>
        </w:rPr>
        <w:t>-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to</w:t>
      </w:r>
      <w:r w:rsidR="00B40108" w:rsidRPr="00902BB3">
        <w:rPr>
          <w:rFonts w:asciiTheme="minorHAnsi" w:hAnsiTheme="minorHAnsi" w:cs="Tahoma"/>
          <w:bCs/>
          <w:color w:val="1F3864" w:themeColor="accent5" w:themeShade="80"/>
        </w:rPr>
        <w:t>-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end e completamente chiavi in mano, è caratterizzata da tre componenti (Front end, Gateway e ACH)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e numerosi moduli aggiuntivi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ch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e 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 xml:space="preserve">permettono 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alle banche di lanciare il servizio in tempi 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 xml:space="preserve">molto 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rapidi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grazie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 xml:space="preserve"> anche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a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>l rapporto con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un unico interlocutore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 xml:space="preserve"> e 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 xml:space="preserve">a 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servizi di assistenza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 xml:space="preserve"> 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per tutto il percorso di sviluppo (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studio dei casi d’uso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, attivazione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 xml:space="preserve"> dei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 xml:space="preserve"> sistemi,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 xml:space="preserve"> collegamento alla Clearing </w:t>
      </w:r>
      <w:proofErr w:type="spellStart"/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house</w:t>
      </w:r>
      <w:proofErr w:type="spellEnd"/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,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 xml:space="preserve"> </w:t>
      </w:r>
      <w:r w:rsidR="006A005C" w:rsidRPr="00902BB3">
        <w:rPr>
          <w:rFonts w:asciiTheme="minorHAnsi" w:hAnsiTheme="minorHAnsi" w:cs="Tahoma"/>
          <w:bCs/>
          <w:color w:val="1F3864" w:themeColor="accent5" w:themeShade="80"/>
        </w:rPr>
        <w:t>attività di marketing e comunicazione mirate e realizzate in base alle esigenze della banca</w:t>
      </w:r>
      <w:r w:rsidR="008F0EC6" w:rsidRPr="00902BB3">
        <w:rPr>
          <w:rFonts w:asciiTheme="minorHAnsi" w:hAnsiTheme="minorHAnsi" w:cs="Tahoma"/>
          <w:bCs/>
          <w:color w:val="1F3864" w:themeColor="accent5" w:themeShade="80"/>
        </w:rPr>
        <w:t>, gestione operativa della tesoreria</w:t>
      </w:r>
      <w:r w:rsidR="004F142F" w:rsidRPr="00902BB3">
        <w:rPr>
          <w:rFonts w:asciiTheme="minorHAnsi" w:hAnsiTheme="minorHAnsi" w:cs="Tahoma"/>
          <w:bCs/>
          <w:color w:val="1F3864" w:themeColor="accent5" w:themeShade="80"/>
        </w:rPr>
        <w:t>)</w:t>
      </w:r>
      <w:r w:rsidRPr="00902BB3">
        <w:rPr>
          <w:rFonts w:asciiTheme="minorHAnsi" w:hAnsiTheme="minorHAnsi" w:cs="Tahoma"/>
          <w:bCs/>
          <w:color w:val="1F3864" w:themeColor="accent5" w:themeShade="80"/>
        </w:rPr>
        <w:t>.</w:t>
      </w:r>
    </w:p>
    <w:p w:rsidR="00BF07F8" w:rsidRPr="00902BB3" w:rsidRDefault="00BF07F8" w:rsidP="00C57175">
      <w:pPr>
        <w:spacing w:after="0" w:line="240" w:lineRule="auto"/>
        <w:rPr>
          <w:rFonts w:asciiTheme="minorHAnsi" w:hAnsiTheme="minorHAnsi" w:cs="Tahoma"/>
          <w:bCs/>
          <w:i/>
          <w:color w:val="1F3864" w:themeColor="accent5" w:themeShade="80"/>
          <w:lang w:val="en-US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  <w:lang w:val="en-US"/>
        </w:rPr>
        <w:t xml:space="preserve"> </w:t>
      </w:r>
    </w:p>
    <w:p w:rsidR="00C57175" w:rsidRPr="00902BB3" w:rsidRDefault="00C57175" w:rsidP="00C57175">
      <w:pPr>
        <w:spacing w:after="0" w:line="240" w:lineRule="auto"/>
        <w:rPr>
          <w:rFonts w:asciiTheme="minorHAnsi" w:hAnsiTheme="minorHAnsi" w:cs="Tahoma"/>
          <w:bCs/>
          <w:i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Daniele de Sanctis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  <w:t>Matteo Abbondanza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</w:p>
    <w:p w:rsidR="00C57175" w:rsidRPr="00902BB3" w:rsidRDefault="00F91707" w:rsidP="00C57175">
      <w:pPr>
        <w:spacing w:after="0" w:line="240" w:lineRule="auto"/>
        <w:rPr>
          <w:rFonts w:asciiTheme="minorHAnsi" w:hAnsiTheme="minorHAnsi" w:cs="Tahoma"/>
          <w:bCs/>
          <w:i/>
          <w:color w:val="1F3864" w:themeColor="accent5" w:themeShade="80"/>
        </w:rPr>
      </w:pPr>
      <w:hyperlink r:id="rId7" w:history="1">
        <w:r w:rsidR="00C57175" w:rsidRPr="00902BB3">
          <w:rPr>
            <w:rFonts w:asciiTheme="minorHAnsi" w:hAnsiTheme="minorHAnsi" w:cs="Tahoma"/>
            <w:bCs/>
            <w:i/>
            <w:color w:val="1F3864" w:themeColor="accent5" w:themeShade="80"/>
          </w:rPr>
          <w:t>daniele.desanctis@nexi.it</w:t>
        </w:r>
      </w:hyperlink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  <w:t>matteo.abbondanza@nexi.it</w:t>
      </w:r>
    </w:p>
    <w:p w:rsidR="00C57175" w:rsidRPr="00902BB3" w:rsidRDefault="00C57175" w:rsidP="00C57175">
      <w:pPr>
        <w:spacing w:after="0" w:line="240" w:lineRule="auto"/>
        <w:rPr>
          <w:rFonts w:asciiTheme="minorHAnsi" w:hAnsiTheme="minorHAnsi" w:cs="Tahoma"/>
          <w:bCs/>
          <w:i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346.015.1000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  <w:t>348.4068.858</w:t>
      </w:r>
    </w:p>
    <w:p w:rsidR="00C57175" w:rsidRPr="00902BB3" w:rsidRDefault="00C57175" w:rsidP="00C57175">
      <w:pPr>
        <w:spacing w:after="0" w:line="240" w:lineRule="auto"/>
        <w:rPr>
          <w:rFonts w:asciiTheme="minorHAnsi" w:hAnsiTheme="minorHAnsi" w:cs="Tahoma"/>
          <w:bCs/>
          <w:i/>
          <w:color w:val="1F3864" w:themeColor="accent5" w:themeShade="80"/>
        </w:rPr>
      </w:pP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>02.3488.4491</w:t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  <w:t>02.3488.2202</w:t>
      </w:r>
    </w:p>
    <w:p w:rsidR="002F4F92" w:rsidRPr="00902BB3" w:rsidRDefault="00F91707" w:rsidP="00902BB3">
      <w:pPr>
        <w:spacing w:after="0" w:line="240" w:lineRule="auto"/>
        <w:rPr>
          <w:rFonts w:asciiTheme="minorHAnsi" w:hAnsiTheme="minorHAnsi" w:cs="Tahoma"/>
          <w:color w:val="1F3864" w:themeColor="accent5" w:themeShade="80"/>
        </w:rPr>
      </w:pPr>
      <w:hyperlink r:id="rId8" w:history="1">
        <w:r w:rsidR="00C57175" w:rsidRPr="00902BB3">
          <w:rPr>
            <w:rFonts w:asciiTheme="minorHAnsi" w:hAnsiTheme="minorHAnsi" w:cs="Tahoma"/>
            <w:bCs/>
            <w:i/>
            <w:color w:val="1F3864" w:themeColor="accent5" w:themeShade="80"/>
          </w:rPr>
          <w:t>www.nexi.it</w:t>
        </w:r>
      </w:hyperlink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</w:r>
      <w:r w:rsidR="00C57175" w:rsidRPr="00902BB3">
        <w:rPr>
          <w:rFonts w:asciiTheme="minorHAnsi" w:hAnsiTheme="minorHAnsi" w:cs="Tahoma"/>
          <w:bCs/>
          <w:i/>
          <w:color w:val="1F3864" w:themeColor="accent5" w:themeShade="80"/>
        </w:rPr>
        <w:tab/>
        <w:t>www.nexi.it</w:t>
      </w:r>
      <w:bookmarkStart w:id="0" w:name="_GoBack"/>
      <w:bookmarkEnd w:id="0"/>
    </w:p>
    <w:sectPr w:rsidR="002F4F92" w:rsidRPr="00902BB3" w:rsidSect="005A1D5A">
      <w:headerReference w:type="default" r:id="rId9"/>
      <w:foot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07" w:rsidRDefault="00F91707" w:rsidP="00215D0A">
      <w:pPr>
        <w:spacing w:after="0" w:line="240" w:lineRule="auto"/>
      </w:pPr>
      <w:r>
        <w:separator/>
      </w:r>
    </w:p>
  </w:endnote>
  <w:endnote w:type="continuationSeparator" w:id="0">
    <w:p w:rsidR="00F91707" w:rsidRDefault="00F91707" w:rsidP="002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5C" w:rsidRDefault="0027365C">
    <w:pPr>
      <w:pStyle w:val="Pidipagina"/>
      <w:jc w:val="center"/>
    </w:pPr>
  </w:p>
  <w:p w:rsidR="0027365C" w:rsidRDefault="002736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07" w:rsidRDefault="00F91707" w:rsidP="00215D0A">
      <w:pPr>
        <w:spacing w:after="0" w:line="240" w:lineRule="auto"/>
      </w:pPr>
      <w:r>
        <w:separator/>
      </w:r>
    </w:p>
  </w:footnote>
  <w:footnote w:type="continuationSeparator" w:id="0">
    <w:p w:rsidR="00F91707" w:rsidRDefault="00F91707" w:rsidP="0021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4825"/>
      <w:gridCol w:w="4813"/>
    </w:tblGrid>
    <w:tr w:rsidR="0027365C" w:rsidTr="007A2372">
      <w:trPr>
        <w:trHeight w:val="1418"/>
        <w:jc w:val="center"/>
      </w:trPr>
      <w:tc>
        <w:tcPr>
          <w:tcW w:w="4889" w:type="dxa"/>
          <w:vAlign w:val="center"/>
        </w:tcPr>
        <w:p w:rsidR="0027365C" w:rsidRPr="0011277D" w:rsidRDefault="00924E8A" w:rsidP="007A2372">
          <w:pPr>
            <w:pStyle w:val="Intestazione"/>
            <w:rPr>
              <w:lang w:eastAsia="en-US"/>
            </w:rPr>
          </w:pPr>
          <w:r w:rsidRPr="0011277D">
            <w:rPr>
              <w:noProof/>
            </w:rPr>
            <w:drawing>
              <wp:inline distT="0" distB="0" distL="0" distR="0">
                <wp:extent cx="1543050" cy="494818"/>
                <wp:effectExtent l="0" t="0" r="0" b="635"/>
                <wp:docPr id="1" name="Immagine 1" descr="C:\Users\U801377\AppData\Local\Microsoft\Windows\Temporary Internet Files\Content.Outlook\4NC1EYYF\logo GB BL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801377\AppData\Local\Microsoft\Windows\Temporary Internet Files\Content.Outlook\4NC1EYYF\logo GB BL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469" cy="50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27365C" w:rsidRPr="0011277D" w:rsidRDefault="00C57175" w:rsidP="00693A06">
          <w:pPr>
            <w:pStyle w:val="Intestazione"/>
            <w:jc w:val="right"/>
            <w:rPr>
              <w:rFonts w:ascii="Verdana" w:hAnsi="Verdana"/>
              <w:b/>
              <w:color w:val="1F497D"/>
              <w:sz w:val="28"/>
              <w:szCs w:val="28"/>
              <w:lang w:eastAsia="en-US"/>
            </w:rPr>
          </w:pPr>
          <w:r w:rsidRPr="002849CC">
            <w:rPr>
              <w:b/>
              <w:noProof/>
              <w:highlight w:val="yellow"/>
            </w:rPr>
            <w:drawing>
              <wp:anchor distT="0" distB="0" distL="114300" distR="114300" simplePos="0" relativeHeight="251659264" behindDoc="1" locked="0" layoutInCell="1" allowOverlap="1" wp14:anchorId="1EF400E8" wp14:editId="11D39236">
                <wp:simplePos x="0" y="0"/>
                <wp:positionH relativeFrom="column">
                  <wp:posOffset>1487170</wp:posOffset>
                </wp:positionH>
                <wp:positionV relativeFrom="paragraph">
                  <wp:posOffset>-187960</wp:posOffset>
                </wp:positionV>
                <wp:extent cx="1285875" cy="666750"/>
                <wp:effectExtent l="0" t="0" r="9525" b="0"/>
                <wp:wrapTight wrapText="bothSides">
                  <wp:wrapPolygon edited="0">
                    <wp:start x="0" y="0"/>
                    <wp:lineTo x="0" y="20983"/>
                    <wp:lineTo x="21440" y="20983"/>
                    <wp:lineTo x="21440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365C" w:rsidRPr="00215D0A" w:rsidRDefault="0027365C">
    <w:pPr>
      <w:pStyle w:val="Intestazione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FB3"/>
    <w:multiLevelType w:val="hybridMultilevel"/>
    <w:tmpl w:val="35B020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A74A6"/>
    <w:multiLevelType w:val="hybridMultilevel"/>
    <w:tmpl w:val="76CCFDBC"/>
    <w:lvl w:ilvl="0" w:tplc="696012D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32F"/>
    <w:multiLevelType w:val="hybridMultilevel"/>
    <w:tmpl w:val="593814AE"/>
    <w:lvl w:ilvl="0" w:tplc="1286104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513"/>
    <w:multiLevelType w:val="hybridMultilevel"/>
    <w:tmpl w:val="74CAF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2322"/>
    <w:multiLevelType w:val="hybridMultilevel"/>
    <w:tmpl w:val="A7169B82"/>
    <w:lvl w:ilvl="0" w:tplc="97A28B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F90"/>
    <w:multiLevelType w:val="hybridMultilevel"/>
    <w:tmpl w:val="4E50AD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32861"/>
    <w:multiLevelType w:val="hybridMultilevel"/>
    <w:tmpl w:val="98346A62"/>
    <w:lvl w:ilvl="0" w:tplc="4A7CC5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481C13"/>
    <w:multiLevelType w:val="hybridMultilevel"/>
    <w:tmpl w:val="7DBC0AC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71368"/>
    <w:multiLevelType w:val="hybridMultilevel"/>
    <w:tmpl w:val="5A167984"/>
    <w:lvl w:ilvl="0" w:tplc="F91898E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7057"/>
    <w:multiLevelType w:val="hybridMultilevel"/>
    <w:tmpl w:val="1834DF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14972"/>
    <w:multiLevelType w:val="hybridMultilevel"/>
    <w:tmpl w:val="A82AC3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43AE"/>
    <w:multiLevelType w:val="hybridMultilevel"/>
    <w:tmpl w:val="C92401E4"/>
    <w:lvl w:ilvl="0" w:tplc="23524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AAA2BEB"/>
    <w:multiLevelType w:val="hybridMultilevel"/>
    <w:tmpl w:val="E6863E6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A"/>
    <w:rsid w:val="00000571"/>
    <w:rsid w:val="0000124E"/>
    <w:rsid w:val="0000617F"/>
    <w:rsid w:val="000069B9"/>
    <w:rsid w:val="00012066"/>
    <w:rsid w:val="00012959"/>
    <w:rsid w:val="0001776B"/>
    <w:rsid w:val="00023065"/>
    <w:rsid w:val="0002384A"/>
    <w:rsid w:val="000253E4"/>
    <w:rsid w:val="00031A6D"/>
    <w:rsid w:val="000329EB"/>
    <w:rsid w:val="0003699F"/>
    <w:rsid w:val="00046619"/>
    <w:rsid w:val="00047451"/>
    <w:rsid w:val="000531D7"/>
    <w:rsid w:val="0005597C"/>
    <w:rsid w:val="000566E4"/>
    <w:rsid w:val="00065CA3"/>
    <w:rsid w:val="000811E4"/>
    <w:rsid w:val="000911E6"/>
    <w:rsid w:val="000A2B4A"/>
    <w:rsid w:val="000A4316"/>
    <w:rsid w:val="000A7D6D"/>
    <w:rsid w:val="000B16C1"/>
    <w:rsid w:val="000B3181"/>
    <w:rsid w:val="000B5465"/>
    <w:rsid w:val="000C7225"/>
    <w:rsid w:val="000D1922"/>
    <w:rsid w:val="000D53C1"/>
    <w:rsid w:val="000D5E60"/>
    <w:rsid w:val="000D6BF7"/>
    <w:rsid w:val="000D7070"/>
    <w:rsid w:val="000E6A13"/>
    <w:rsid w:val="000F4647"/>
    <w:rsid w:val="000F6E4A"/>
    <w:rsid w:val="00100C17"/>
    <w:rsid w:val="001019AF"/>
    <w:rsid w:val="00101C08"/>
    <w:rsid w:val="00103BA4"/>
    <w:rsid w:val="001068D2"/>
    <w:rsid w:val="00107180"/>
    <w:rsid w:val="00107872"/>
    <w:rsid w:val="0011277D"/>
    <w:rsid w:val="001170B6"/>
    <w:rsid w:val="00121BF0"/>
    <w:rsid w:val="001226BA"/>
    <w:rsid w:val="00125256"/>
    <w:rsid w:val="001262D1"/>
    <w:rsid w:val="00130018"/>
    <w:rsid w:val="00131239"/>
    <w:rsid w:val="00131626"/>
    <w:rsid w:val="00134D1C"/>
    <w:rsid w:val="00147D8F"/>
    <w:rsid w:val="00152075"/>
    <w:rsid w:val="00152803"/>
    <w:rsid w:val="001616C1"/>
    <w:rsid w:val="0016198D"/>
    <w:rsid w:val="00165547"/>
    <w:rsid w:val="0016736F"/>
    <w:rsid w:val="0018188A"/>
    <w:rsid w:val="001833FD"/>
    <w:rsid w:val="00184276"/>
    <w:rsid w:val="00185CF8"/>
    <w:rsid w:val="00192F8E"/>
    <w:rsid w:val="00194187"/>
    <w:rsid w:val="0019550A"/>
    <w:rsid w:val="001A3B61"/>
    <w:rsid w:val="001A4AA6"/>
    <w:rsid w:val="001B7BCB"/>
    <w:rsid w:val="001C1D75"/>
    <w:rsid w:val="001C1F95"/>
    <w:rsid w:val="001D17CA"/>
    <w:rsid w:val="001D70E0"/>
    <w:rsid w:val="001D7CCB"/>
    <w:rsid w:val="001E2893"/>
    <w:rsid w:val="001E42A5"/>
    <w:rsid w:val="001E4D3A"/>
    <w:rsid w:val="001F0C5D"/>
    <w:rsid w:val="001F4603"/>
    <w:rsid w:val="001F6682"/>
    <w:rsid w:val="001F72F1"/>
    <w:rsid w:val="002004D2"/>
    <w:rsid w:val="002006D3"/>
    <w:rsid w:val="00203A8A"/>
    <w:rsid w:val="00215D0A"/>
    <w:rsid w:val="0022012D"/>
    <w:rsid w:val="00221CB3"/>
    <w:rsid w:val="00225F84"/>
    <w:rsid w:val="00226138"/>
    <w:rsid w:val="00231A46"/>
    <w:rsid w:val="002325AD"/>
    <w:rsid w:val="0023697A"/>
    <w:rsid w:val="0024780C"/>
    <w:rsid w:val="002530C1"/>
    <w:rsid w:val="00255D0B"/>
    <w:rsid w:val="002613FE"/>
    <w:rsid w:val="002615AE"/>
    <w:rsid w:val="002617DD"/>
    <w:rsid w:val="00262BD7"/>
    <w:rsid w:val="0026517D"/>
    <w:rsid w:val="002656D6"/>
    <w:rsid w:val="00266A10"/>
    <w:rsid w:val="0027365C"/>
    <w:rsid w:val="00275557"/>
    <w:rsid w:val="0028078B"/>
    <w:rsid w:val="00280F75"/>
    <w:rsid w:val="00281747"/>
    <w:rsid w:val="002819D5"/>
    <w:rsid w:val="00282BB0"/>
    <w:rsid w:val="00283159"/>
    <w:rsid w:val="0028581E"/>
    <w:rsid w:val="00286F5A"/>
    <w:rsid w:val="00291261"/>
    <w:rsid w:val="00294726"/>
    <w:rsid w:val="00294DCD"/>
    <w:rsid w:val="002B17EA"/>
    <w:rsid w:val="002B37DD"/>
    <w:rsid w:val="002B6288"/>
    <w:rsid w:val="002B6779"/>
    <w:rsid w:val="002C0A69"/>
    <w:rsid w:val="002C10BC"/>
    <w:rsid w:val="002C4CD2"/>
    <w:rsid w:val="002C60F9"/>
    <w:rsid w:val="002C77B9"/>
    <w:rsid w:val="002D5198"/>
    <w:rsid w:val="002D52C1"/>
    <w:rsid w:val="002D6212"/>
    <w:rsid w:val="002E2669"/>
    <w:rsid w:val="002E2F27"/>
    <w:rsid w:val="002F153F"/>
    <w:rsid w:val="002F2A5C"/>
    <w:rsid w:val="002F4F92"/>
    <w:rsid w:val="002F7A30"/>
    <w:rsid w:val="003058FE"/>
    <w:rsid w:val="00305FA5"/>
    <w:rsid w:val="00315448"/>
    <w:rsid w:val="003156D6"/>
    <w:rsid w:val="00320E0D"/>
    <w:rsid w:val="003222C4"/>
    <w:rsid w:val="003229D4"/>
    <w:rsid w:val="00322DD0"/>
    <w:rsid w:val="00334E6F"/>
    <w:rsid w:val="003354B6"/>
    <w:rsid w:val="003437DD"/>
    <w:rsid w:val="00343CC7"/>
    <w:rsid w:val="0035076C"/>
    <w:rsid w:val="00351809"/>
    <w:rsid w:val="0035424B"/>
    <w:rsid w:val="003567C2"/>
    <w:rsid w:val="00357D00"/>
    <w:rsid w:val="003635DC"/>
    <w:rsid w:val="003641BF"/>
    <w:rsid w:val="00365AEA"/>
    <w:rsid w:val="00366770"/>
    <w:rsid w:val="00370BFB"/>
    <w:rsid w:val="003719CD"/>
    <w:rsid w:val="0037767C"/>
    <w:rsid w:val="003827BA"/>
    <w:rsid w:val="00383111"/>
    <w:rsid w:val="00386B51"/>
    <w:rsid w:val="00391152"/>
    <w:rsid w:val="00392A2A"/>
    <w:rsid w:val="00392A49"/>
    <w:rsid w:val="0039664C"/>
    <w:rsid w:val="003971D1"/>
    <w:rsid w:val="003A1439"/>
    <w:rsid w:val="003A3D10"/>
    <w:rsid w:val="003A67D5"/>
    <w:rsid w:val="003B1A71"/>
    <w:rsid w:val="003B34CC"/>
    <w:rsid w:val="003B6830"/>
    <w:rsid w:val="003C046D"/>
    <w:rsid w:val="003C1726"/>
    <w:rsid w:val="003C3799"/>
    <w:rsid w:val="003D39D7"/>
    <w:rsid w:val="003D6938"/>
    <w:rsid w:val="003D7136"/>
    <w:rsid w:val="003E3919"/>
    <w:rsid w:val="003F04FB"/>
    <w:rsid w:val="003F12A7"/>
    <w:rsid w:val="00400378"/>
    <w:rsid w:val="004026E2"/>
    <w:rsid w:val="00405028"/>
    <w:rsid w:val="00407DD2"/>
    <w:rsid w:val="00410106"/>
    <w:rsid w:val="0041254F"/>
    <w:rsid w:val="00412B00"/>
    <w:rsid w:val="00426DB7"/>
    <w:rsid w:val="00433BDE"/>
    <w:rsid w:val="00435D61"/>
    <w:rsid w:val="0044250E"/>
    <w:rsid w:val="00443465"/>
    <w:rsid w:val="00450564"/>
    <w:rsid w:val="004509F7"/>
    <w:rsid w:val="004520BF"/>
    <w:rsid w:val="00456058"/>
    <w:rsid w:val="0045714E"/>
    <w:rsid w:val="0045793B"/>
    <w:rsid w:val="004656FE"/>
    <w:rsid w:val="0047351B"/>
    <w:rsid w:val="004740DB"/>
    <w:rsid w:val="00482FF3"/>
    <w:rsid w:val="00483C4B"/>
    <w:rsid w:val="00487F21"/>
    <w:rsid w:val="00497418"/>
    <w:rsid w:val="00497C84"/>
    <w:rsid w:val="004B1C50"/>
    <w:rsid w:val="004B6473"/>
    <w:rsid w:val="004C4C76"/>
    <w:rsid w:val="004E0021"/>
    <w:rsid w:val="004E0D09"/>
    <w:rsid w:val="004E5F2A"/>
    <w:rsid w:val="004F0D3B"/>
    <w:rsid w:val="004F142F"/>
    <w:rsid w:val="004F3769"/>
    <w:rsid w:val="004F500D"/>
    <w:rsid w:val="00500C59"/>
    <w:rsid w:val="00505F9F"/>
    <w:rsid w:val="00511FC0"/>
    <w:rsid w:val="00515815"/>
    <w:rsid w:val="00520C02"/>
    <w:rsid w:val="0052107C"/>
    <w:rsid w:val="00524EFD"/>
    <w:rsid w:val="005304A9"/>
    <w:rsid w:val="00533572"/>
    <w:rsid w:val="005339E9"/>
    <w:rsid w:val="00536694"/>
    <w:rsid w:val="00541E9E"/>
    <w:rsid w:val="005424FC"/>
    <w:rsid w:val="00547B2A"/>
    <w:rsid w:val="005501B0"/>
    <w:rsid w:val="00555DA5"/>
    <w:rsid w:val="00560E1D"/>
    <w:rsid w:val="00561F07"/>
    <w:rsid w:val="00576EE5"/>
    <w:rsid w:val="005A1D5A"/>
    <w:rsid w:val="005B096D"/>
    <w:rsid w:val="005B6D13"/>
    <w:rsid w:val="005B790F"/>
    <w:rsid w:val="005C1FB4"/>
    <w:rsid w:val="005C53A7"/>
    <w:rsid w:val="005C5B97"/>
    <w:rsid w:val="005C71B9"/>
    <w:rsid w:val="005D568F"/>
    <w:rsid w:val="005D6530"/>
    <w:rsid w:val="005D66A3"/>
    <w:rsid w:val="005D6C83"/>
    <w:rsid w:val="005E029E"/>
    <w:rsid w:val="005E518F"/>
    <w:rsid w:val="0060085B"/>
    <w:rsid w:val="0060228E"/>
    <w:rsid w:val="006053A2"/>
    <w:rsid w:val="006063F8"/>
    <w:rsid w:val="00607AA7"/>
    <w:rsid w:val="00611B10"/>
    <w:rsid w:val="00614B0F"/>
    <w:rsid w:val="0061638B"/>
    <w:rsid w:val="00627169"/>
    <w:rsid w:val="00643CB4"/>
    <w:rsid w:val="00646E61"/>
    <w:rsid w:val="00653E38"/>
    <w:rsid w:val="00656678"/>
    <w:rsid w:val="006575E0"/>
    <w:rsid w:val="00661E58"/>
    <w:rsid w:val="00664E98"/>
    <w:rsid w:val="0066561C"/>
    <w:rsid w:val="00666CB9"/>
    <w:rsid w:val="00673849"/>
    <w:rsid w:val="0068219D"/>
    <w:rsid w:val="006852F2"/>
    <w:rsid w:val="00691DD6"/>
    <w:rsid w:val="00693A06"/>
    <w:rsid w:val="00696E42"/>
    <w:rsid w:val="006A005C"/>
    <w:rsid w:val="006A5777"/>
    <w:rsid w:val="006A77C7"/>
    <w:rsid w:val="006A785D"/>
    <w:rsid w:val="006B4C88"/>
    <w:rsid w:val="006B5D44"/>
    <w:rsid w:val="006B69BE"/>
    <w:rsid w:val="006C1132"/>
    <w:rsid w:val="006D3363"/>
    <w:rsid w:val="006D7F07"/>
    <w:rsid w:val="006E01EA"/>
    <w:rsid w:val="006F1229"/>
    <w:rsid w:val="006F3D97"/>
    <w:rsid w:val="006F62E7"/>
    <w:rsid w:val="00701458"/>
    <w:rsid w:val="00701474"/>
    <w:rsid w:val="007049AD"/>
    <w:rsid w:val="00707667"/>
    <w:rsid w:val="007105CA"/>
    <w:rsid w:val="00713E92"/>
    <w:rsid w:val="00721ACB"/>
    <w:rsid w:val="007300E9"/>
    <w:rsid w:val="00732E9B"/>
    <w:rsid w:val="007343B5"/>
    <w:rsid w:val="00734885"/>
    <w:rsid w:val="007428E7"/>
    <w:rsid w:val="00745D9C"/>
    <w:rsid w:val="0075693D"/>
    <w:rsid w:val="007600C8"/>
    <w:rsid w:val="00760A39"/>
    <w:rsid w:val="0076202D"/>
    <w:rsid w:val="007760B2"/>
    <w:rsid w:val="007776A2"/>
    <w:rsid w:val="00797625"/>
    <w:rsid w:val="007A2372"/>
    <w:rsid w:val="007B273D"/>
    <w:rsid w:val="007B53AE"/>
    <w:rsid w:val="007B70D2"/>
    <w:rsid w:val="007C0BFB"/>
    <w:rsid w:val="007C2EA6"/>
    <w:rsid w:val="007C3218"/>
    <w:rsid w:val="007C34DA"/>
    <w:rsid w:val="007D1E04"/>
    <w:rsid w:val="007D3B46"/>
    <w:rsid w:val="007E0182"/>
    <w:rsid w:val="007E1B08"/>
    <w:rsid w:val="008035E0"/>
    <w:rsid w:val="008037D4"/>
    <w:rsid w:val="008048B7"/>
    <w:rsid w:val="00805D16"/>
    <w:rsid w:val="0080635C"/>
    <w:rsid w:val="008067E3"/>
    <w:rsid w:val="00815613"/>
    <w:rsid w:val="00821900"/>
    <w:rsid w:val="00827AB3"/>
    <w:rsid w:val="008322BE"/>
    <w:rsid w:val="0083402E"/>
    <w:rsid w:val="0084116A"/>
    <w:rsid w:val="008434ED"/>
    <w:rsid w:val="008459CC"/>
    <w:rsid w:val="008608D2"/>
    <w:rsid w:val="00861A7B"/>
    <w:rsid w:val="008644E6"/>
    <w:rsid w:val="008653C7"/>
    <w:rsid w:val="00865A66"/>
    <w:rsid w:val="00866BF9"/>
    <w:rsid w:val="0087338C"/>
    <w:rsid w:val="00874D6A"/>
    <w:rsid w:val="00876B2B"/>
    <w:rsid w:val="00885970"/>
    <w:rsid w:val="0089400B"/>
    <w:rsid w:val="00895E8B"/>
    <w:rsid w:val="0089649F"/>
    <w:rsid w:val="008A3A62"/>
    <w:rsid w:val="008A6C6C"/>
    <w:rsid w:val="008A7619"/>
    <w:rsid w:val="008B56E5"/>
    <w:rsid w:val="008B79C4"/>
    <w:rsid w:val="008C1D0F"/>
    <w:rsid w:val="008C5B53"/>
    <w:rsid w:val="008C690F"/>
    <w:rsid w:val="008D3EAF"/>
    <w:rsid w:val="008D412B"/>
    <w:rsid w:val="008D4308"/>
    <w:rsid w:val="008E337F"/>
    <w:rsid w:val="008E56F6"/>
    <w:rsid w:val="008E57FD"/>
    <w:rsid w:val="008F0EC6"/>
    <w:rsid w:val="008F17D7"/>
    <w:rsid w:val="009002FE"/>
    <w:rsid w:val="00900F76"/>
    <w:rsid w:val="00901DEA"/>
    <w:rsid w:val="00902BB3"/>
    <w:rsid w:val="0090342C"/>
    <w:rsid w:val="00910CD4"/>
    <w:rsid w:val="00912538"/>
    <w:rsid w:val="0091460A"/>
    <w:rsid w:val="00914EA5"/>
    <w:rsid w:val="00924E8A"/>
    <w:rsid w:val="009257F4"/>
    <w:rsid w:val="00926631"/>
    <w:rsid w:val="009272B8"/>
    <w:rsid w:val="00927ABF"/>
    <w:rsid w:val="0093004E"/>
    <w:rsid w:val="009433AE"/>
    <w:rsid w:val="00943CBA"/>
    <w:rsid w:val="009450AB"/>
    <w:rsid w:val="0094587B"/>
    <w:rsid w:val="00954715"/>
    <w:rsid w:val="00956B2C"/>
    <w:rsid w:val="00957286"/>
    <w:rsid w:val="009608E8"/>
    <w:rsid w:val="00966CF2"/>
    <w:rsid w:val="00975911"/>
    <w:rsid w:val="00975F4B"/>
    <w:rsid w:val="00981978"/>
    <w:rsid w:val="00982A97"/>
    <w:rsid w:val="00991169"/>
    <w:rsid w:val="00994D14"/>
    <w:rsid w:val="009A03D2"/>
    <w:rsid w:val="009A328A"/>
    <w:rsid w:val="009A7AE6"/>
    <w:rsid w:val="009B28FB"/>
    <w:rsid w:val="009B4719"/>
    <w:rsid w:val="009B6158"/>
    <w:rsid w:val="009B6A1A"/>
    <w:rsid w:val="009C1C49"/>
    <w:rsid w:val="009D1B04"/>
    <w:rsid w:val="009D4448"/>
    <w:rsid w:val="009E4074"/>
    <w:rsid w:val="009F2A7B"/>
    <w:rsid w:val="009F4D9F"/>
    <w:rsid w:val="009F7FD7"/>
    <w:rsid w:val="00A02CC3"/>
    <w:rsid w:val="00A046A9"/>
    <w:rsid w:val="00A06C63"/>
    <w:rsid w:val="00A0709F"/>
    <w:rsid w:val="00A13E1B"/>
    <w:rsid w:val="00A17CFB"/>
    <w:rsid w:val="00A22C8F"/>
    <w:rsid w:val="00A26153"/>
    <w:rsid w:val="00A2653F"/>
    <w:rsid w:val="00A27267"/>
    <w:rsid w:val="00A316F3"/>
    <w:rsid w:val="00A400C7"/>
    <w:rsid w:val="00A41625"/>
    <w:rsid w:val="00A46464"/>
    <w:rsid w:val="00A570B1"/>
    <w:rsid w:val="00A63133"/>
    <w:rsid w:val="00A63C55"/>
    <w:rsid w:val="00A66260"/>
    <w:rsid w:val="00A67709"/>
    <w:rsid w:val="00A7455D"/>
    <w:rsid w:val="00A76B25"/>
    <w:rsid w:val="00A84637"/>
    <w:rsid w:val="00A84C30"/>
    <w:rsid w:val="00A95E68"/>
    <w:rsid w:val="00A96537"/>
    <w:rsid w:val="00A96618"/>
    <w:rsid w:val="00AA04FC"/>
    <w:rsid w:val="00AA4FEA"/>
    <w:rsid w:val="00AA59E4"/>
    <w:rsid w:val="00AC2A37"/>
    <w:rsid w:val="00AC34FD"/>
    <w:rsid w:val="00AC56AC"/>
    <w:rsid w:val="00AE014F"/>
    <w:rsid w:val="00AE4A84"/>
    <w:rsid w:val="00AE5540"/>
    <w:rsid w:val="00AE7228"/>
    <w:rsid w:val="00AE7C35"/>
    <w:rsid w:val="00B13574"/>
    <w:rsid w:val="00B2746B"/>
    <w:rsid w:val="00B32304"/>
    <w:rsid w:val="00B3433E"/>
    <w:rsid w:val="00B34447"/>
    <w:rsid w:val="00B362A0"/>
    <w:rsid w:val="00B370F3"/>
    <w:rsid w:val="00B37DB7"/>
    <w:rsid w:val="00B40108"/>
    <w:rsid w:val="00B40F29"/>
    <w:rsid w:val="00B46C7A"/>
    <w:rsid w:val="00B46D22"/>
    <w:rsid w:val="00B479D4"/>
    <w:rsid w:val="00B532BE"/>
    <w:rsid w:val="00B545FF"/>
    <w:rsid w:val="00B566AB"/>
    <w:rsid w:val="00B61272"/>
    <w:rsid w:val="00B6233B"/>
    <w:rsid w:val="00B624BE"/>
    <w:rsid w:val="00B647B7"/>
    <w:rsid w:val="00B67237"/>
    <w:rsid w:val="00B737F7"/>
    <w:rsid w:val="00B745B4"/>
    <w:rsid w:val="00B75A8F"/>
    <w:rsid w:val="00B91DC7"/>
    <w:rsid w:val="00B93C67"/>
    <w:rsid w:val="00B9425D"/>
    <w:rsid w:val="00B95EA7"/>
    <w:rsid w:val="00BA117E"/>
    <w:rsid w:val="00BA12C1"/>
    <w:rsid w:val="00BA30C4"/>
    <w:rsid w:val="00BA451E"/>
    <w:rsid w:val="00BB01E1"/>
    <w:rsid w:val="00BB133A"/>
    <w:rsid w:val="00BB7529"/>
    <w:rsid w:val="00BC378B"/>
    <w:rsid w:val="00BC3E78"/>
    <w:rsid w:val="00BC7403"/>
    <w:rsid w:val="00BC7D53"/>
    <w:rsid w:val="00BD162E"/>
    <w:rsid w:val="00BD2DCC"/>
    <w:rsid w:val="00BE12CC"/>
    <w:rsid w:val="00BE3130"/>
    <w:rsid w:val="00BF07F8"/>
    <w:rsid w:val="00C01834"/>
    <w:rsid w:val="00C041EA"/>
    <w:rsid w:val="00C11364"/>
    <w:rsid w:val="00C13A8B"/>
    <w:rsid w:val="00C166F8"/>
    <w:rsid w:val="00C16E1D"/>
    <w:rsid w:val="00C27D52"/>
    <w:rsid w:val="00C31169"/>
    <w:rsid w:val="00C36069"/>
    <w:rsid w:val="00C412D6"/>
    <w:rsid w:val="00C542AE"/>
    <w:rsid w:val="00C55AB6"/>
    <w:rsid w:val="00C57175"/>
    <w:rsid w:val="00C6176A"/>
    <w:rsid w:val="00C64FE9"/>
    <w:rsid w:val="00C65323"/>
    <w:rsid w:val="00C662DB"/>
    <w:rsid w:val="00C66311"/>
    <w:rsid w:val="00C705FD"/>
    <w:rsid w:val="00C71B89"/>
    <w:rsid w:val="00C75B34"/>
    <w:rsid w:val="00C80D30"/>
    <w:rsid w:val="00C814D6"/>
    <w:rsid w:val="00C82071"/>
    <w:rsid w:val="00C82D13"/>
    <w:rsid w:val="00C8429C"/>
    <w:rsid w:val="00C862E4"/>
    <w:rsid w:val="00C86C0B"/>
    <w:rsid w:val="00C86EA8"/>
    <w:rsid w:val="00C92C98"/>
    <w:rsid w:val="00C97737"/>
    <w:rsid w:val="00CA091D"/>
    <w:rsid w:val="00CA5990"/>
    <w:rsid w:val="00CA5B3A"/>
    <w:rsid w:val="00CA7C1E"/>
    <w:rsid w:val="00CB7C77"/>
    <w:rsid w:val="00CC035B"/>
    <w:rsid w:val="00CC2B36"/>
    <w:rsid w:val="00CC7E66"/>
    <w:rsid w:val="00CD1334"/>
    <w:rsid w:val="00CE6305"/>
    <w:rsid w:val="00CE6CF8"/>
    <w:rsid w:val="00CF1079"/>
    <w:rsid w:val="00D02CE7"/>
    <w:rsid w:val="00D12FC7"/>
    <w:rsid w:val="00D16644"/>
    <w:rsid w:val="00D168E9"/>
    <w:rsid w:val="00D17543"/>
    <w:rsid w:val="00D42655"/>
    <w:rsid w:val="00D55ACA"/>
    <w:rsid w:val="00D75BAD"/>
    <w:rsid w:val="00D760AF"/>
    <w:rsid w:val="00D96FE1"/>
    <w:rsid w:val="00DA0FF6"/>
    <w:rsid w:val="00DA1B61"/>
    <w:rsid w:val="00DB016B"/>
    <w:rsid w:val="00DB405B"/>
    <w:rsid w:val="00DB78FA"/>
    <w:rsid w:val="00DC00EE"/>
    <w:rsid w:val="00DD02E3"/>
    <w:rsid w:val="00DD3C3F"/>
    <w:rsid w:val="00DD50D6"/>
    <w:rsid w:val="00DE3420"/>
    <w:rsid w:val="00DF54BC"/>
    <w:rsid w:val="00DF6B3E"/>
    <w:rsid w:val="00E00D5C"/>
    <w:rsid w:val="00E04C4D"/>
    <w:rsid w:val="00E1598A"/>
    <w:rsid w:val="00E17A41"/>
    <w:rsid w:val="00E21C4D"/>
    <w:rsid w:val="00E31991"/>
    <w:rsid w:val="00E455D4"/>
    <w:rsid w:val="00E534CC"/>
    <w:rsid w:val="00E614ED"/>
    <w:rsid w:val="00E62E1D"/>
    <w:rsid w:val="00E647B9"/>
    <w:rsid w:val="00E65327"/>
    <w:rsid w:val="00E6719F"/>
    <w:rsid w:val="00E67E58"/>
    <w:rsid w:val="00E75307"/>
    <w:rsid w:val="00E7574E"/>
    <w:rsid w:val="00E76824"/>
    <w:rsid w:val="00E8005D"/>
    <w:rsid w:val="00E86A96"/>
    <w:rsid w:val="00E916F2"/>
    <w:rsid w:val="00EB4F9B"/>
    <w:rsid w:val="00EC0061"/>
    <w:rsid w:val="00EC3D68"/>
    <w:rsid w:val="00ED1665"/>
    <w:rsid w:val="00EE414D"/>
    <w:rsid w:val="00EE4493"/>
    <w:rsid w:val="00EE4CF2"/>
    <w:rsid w:val="00EE5AE0"/>
    <w:rsid w:val="00EE64DC"/>
    <w:rsid w:val="00EF6B84"/>
    <w:rsid w:val="00EF78F5"/>
    <w:rsid w:val="00F00AF5"/>
    <w:rsid w:val="00F121CB"/>
    <w:rsid w:val="00F13C47"/>
    <w:rsid w:val="00F150F1"/>
    <w:rsid w:val="00F17F7E"/>
    <w:rsid w:val="00F30083"/>
    <w:rsid w:val="00F412BA"/>
    <w:rsid w:val="00F41376"/>
    <w:rsid w:val="00F4162C"/>
    <w:rsid w:val="00F46C2E"/>
    <w:rsid w:val="00F47F78"/>
    <w:rsid w:val="00F5321C"/>
    <w:rsid w:val="00F602AC"/>
    <w:rsid w:val="00F61568"/>
    <w:rsid w:val="00F64F11"/>
    <w:rsid w:val="00F723BA"/>
    <w:rsid w:val="00F8152A"/>
    <w:rsid w:val="00F83199"/>
    <w:rsid w:val="00F91707"/>
    <w:rsid w:val="00F94DE0"/>
    <w:rsid w:val="00FA2E27"/>
    <w:rsid w:val="00FA7C96"/>
    <w:rsid w:val="00FB2BD6"/>
    <w:rsid w:val="00FB439C"/>
    <w:rsid w:val="00FC5863"/>
    <w:rsid w:val="00FF1923"/>
    <w:rsid w:val="00FF1F97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E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3A8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35D61"/>
    <w:pPr>
      <w:ind w:left="720"/>
      <w:contextualSpacing/>
    </w:pPr>
  </w:style>
  <w:style w:type="character" w:styleId="Collegamentoipertestuale">
    <w:name w:val="Hyperlink"/>
    <w:rsid w:val="00435D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15D0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locked/>
    <w:rsid w:val="00215D0A"/>
  </w:style>
  <w:style w:type="paragraph" w:styleId="Pidipagina">
    <w:name w:val="footer"/>
    <w:basedOn w:val="Normale"/>
    <w:link w:val="PidipaginaCarattere"/>
    <w:rsid w:val="00215D0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locked/>
    <w:rsid w:val="00215D0A"/>
  </w:style>
  <w:style w:type="paragraph" w:styleId="Testofumetto">
    <w:name w:val="Balloon Text"/>
    <w:basedOn w:val="Normale"/>
    <w:link w:val="TestofumettoCarattere"/>
    <w:semiHidden/>
    <w:rsid w:val="007760B2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7760B2"/>
    <w:rPr>
      <w:rFonts w:ascii="Tahoma" w:hAnsi="Tahoma"/>
      <w:sz w:val="16"/>
    </w:rPr>
  </w:style>
  <w:style w:type="table" w:styleId="Grigliatabella">
    <w:name w:val="Table Grid"/>
    <w:basedOn w:val="Tabellanormale"/>
    <w:rsid w:val="00402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DA0FF6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CorpotestoCarattere">
    <w:name w:val="Corpo testo Carattere"/>
    <w:semiHidden/>
    <w:rsid w:val="00DA0FF6"/>
    <w:rPr>
      <w:sz w:val="24"/>
    </w:rPr>
  </w:style>
  <w:style w:type="paragraph" w:styleId="Corpotesto">
    <w:name w:val="Body Text"/>
    <w:basedOn w:val="Normale"/>
    <w:link w:val="CorpotestoCarattere1"/>
    <w:semiHidden/>
    <w:rsid w:val="00DA0FF6"/>
    <w:pPr>
      <w:spacing w:after="120"/>
    </w:pPr>
    <w:rPr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semiHidden/>
    <w:locked/>
    <w:rsid w:val="00DA0FF6"/>
  </w:style>
  <w:style w:type="character" w:styleId="Rimandocommento">
    <w:name w:val="annotation reference"/>
    <w:semiHidden/>
    <w:rsid w:val="00C86EA8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C86EA8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C86EA8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86EA8"/>
    <w:rPr>
      <w:b/>
    </w:rPr>
  </w:style>
  <w:style w:type="character" w:customStyle="1" w:styleId="SoggettocommentoCarattere">
    <w:name w:val="Soggetto commento Carattere"/>
    <w:link w:val="Soggettocommento"/>
    <w:semiHidden/>
    <w:locked/>
    <w:rsid w:val="00C86EA8"/>
    <w:rPr>
      <w:b/>
      <w:sz w:val="20"/>
    </w:rPr>
  </w:style>
  <w:style w:type="paragraph" w:customStyle="1" w:styleId="Revisione1">
    <w:name w:val="Revisione1"/>
    <w:hidden/>
    <w:semiHidden/>
    <w:rsid w:val="00C86EA8"/>
    <w:rPr>
      <w:rFonts w:eastAsia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B6A1A"/>
    <w:rPr>
      <w:rFonts w:eastAsia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26153"/>
    <w:pPr>
      <w:ind w:left="720"/>
      <w:contextualSpacing/>
    </w:pPr>
  </w:style>
  <w:style w:type="character" w:customStyle="1" w:styleId="Nessuno">
    <w:name w:val="Nessuno"/>
    <w:rsid w:val="00C5717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2018-05-14T08:59:00Z</dcterms:created>
  <dcterms:modified xsi:type="dcterms:W3CDTF">2018-05-17T08:09:00Z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GEAAO+/T9t20xwkTzeorz8DS9l+fdVeIJ51ZAvG/rFL0BWwsGACCgRQSoNxMU7mOZ6XTkkSQ58U3RIihGPs3dpvmNZfK0uF4BH51aAPc+TQOB74a4erBrzlOcru840h1thD/cX+lyCO6XWhTA4cBnkJxw6DrNUatoNR1F15sy0T0ElWPT1dRN3KYcDixv208RQ5kc/XWwwGwWLY9FiTVCGk8SZNTTOSGQU5plcBOWVdGeX6p6cWT3ORKK</vt:lpwstr>
  </property>
  <property fmtid="{D5CDD505-2E9C-101B-9397-08002B2CF9AE}" pid="3" name="MAIL_MSG_ID2">
    <vt:lpwstr>5SgitmfpaXK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ABAAMV6B7YzPbaJGkvph7fnnouHqEmAX2/HUBqJuL7mOtzrdJYFHIjp/tQ6UQjGdz9/V</vt:lpwstr>
  </property>
  <property fmtid="{D5CDD505-2E9C-101B-9397-08002B2CF9AE}" pid="6" name="WS_TRACKING_ID">
    <vt:lpwstr>e0952308-5fde-4a49-8659-dccb0e573051</vt:lpwstr>
  </property>
</Properties>
</file>