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38" w:rsidRPr="009856AF" w:rsidRDefault="004128AA">
      <w:pPr>
        <w:pStyle w:val="Titolo1"/>
        <w:tabs>
          <w:tab w:val="right" w:pos="9638"/>
        </w:tabs>
        <w:jc w:val="left"/>
        <w:rPr>
          <w:rFonts w:ascii="Arial Narrow" w:eastAsia="Arial" w:hAnsi="Arial"/>
          <w:sz w:val="28"/>
          <w:szCs w:val="28"/>
          <w:lang w:val="it-IT"/>
        </w:rPr>
      </w:pPr>
      <w:r w:rsidRPr="009856AF">
        <w:rPr>
          <w:rFonts w:ascii="Arial Narrow" w:eastAsia="Arial Narrow" w:hAnsi="Arial Narrow"/>
          <w:sz w:val="28"/>
          <w:szCs w:val="28"/>
          <w:lang w:val="it-IT"/>
        </w:rPr>
        <w:t>PRESS RELEASE</w:t>
      </w:r>
      <w:r w:rsidRPr="009856AF">
        <w:rPr>
          <w:rFonts w:ascii="Arial Narrow" w:eastAsia="Malgun Gothic" w:hAnsi="Malgun Gothic"/>
          <w:sz w:val="28"/>
          <w:szCs w:val="28"/>
          <w:lang w:val="it-IT"/>
        </w:rPr>
        <w:tab/>
        <w:t>COMUNICATO STAMPA</w:t>
      </w:r>
    </w:p>
    <w:p w:rsidR="006D5438" w:rsidRPr="009856AF" w:rsidRDefault="009E5CB7">
      <w:pPr>
        <w:tabs>
          <w:tab w:val="right" w:pos="9638"/>
        </w:tabs>
        <w:rPr>
          <w:rFonts w:ascii="Arial Narrow" w:eastAsia="Arial Narrow" w:hAnsi="Arial Narrow"/>
          <w:b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64924" wp14:editId="09A0AF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4D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">
                <o:lock v:ext="edit" selection="t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83A2D4" wp14:editId="790A9ACB">
                <wp:simplePos x="0" y="0"/>
                <wp:positionH relativeFrom="column">
                  <wp:posOffset>-12700</wp:posOffset>
                </wp:positionH>
                <wp:positionV relativeFrom="paragraph">
                  <wp:posOffset>38100</wp:posOffset>
                </wp:positionV>
                <wp:extent cx="6154420" cy="0"/>
                <wp:effectExtent l="12065" t="17780" r="1524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4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6ABB8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0E51" id="AutoShape 2" o:spid="_x0000_s1026" type="#_x0000_t32" style="position:absolute;margin-left:-1pt;margin-top:3pt;width:484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" strokecolor="#06abb8" strokeweight="1.5pt"/>
            </w:pict>
          </mc:Fallback>
        </mc:AlternateContent>
      </w:r>
    </w:p>
    <w:p w:rsidR="006D5438" w:rsidRPr="009856AF" w:rsidRDefault="003A762E">
      <w:pPr>
        <w:ind w:right="-1"/>
        <w:jc w:val="center"/>
        <w:rPr>
          <w:rFonts w:ascii="Arial" w:eastAsia="Arial" w:hAnsi="Arial"/>
          <w:b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49536" behindDoc="1" locked="0" layoutInCell="1" allowOverlap="1" wp14:anchorId="26E160A6" wp14:editId="2F45805F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2333625" cy="671195"/>
            <wp:effectExtent l="0" t="0" r="9525" b="0"/>
            <wp:wrapNone/>
            <wp:docPr id="9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private/var/mobile/Containers/Data/Application/4E8A1D76-C9EA-4264-9BB4-AC6C5837FB7A/tmp/Polaris/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7119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6D5438" w:rsidRPr="009856AF" w:rsidRDefault="00B967AF">
      <w:pPr>
        <w:ind w:right="-1"/>
        <w:jc w:val="center"/>
        <w:rPr>
          <w:rFonts w:ascii="Arial" w:eastAsia="Arial" w:hAnsi="Arial"/>
          <w:b/>
          <w:lang w:val="it-IT"/>
        </w:rPr>
      </w:pPr>
      <w:r>
        <w:rPr>
          <w:rFonts w:ascii="Arial" w:eastAsia="Arial" w:hAnsi="Arial"/>
          <w:b/>
          <w:noProof/>
          <w:lang w:val="it-IT" w:eastAsia="it-IT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12065</wp:posOffset>
            </wp:positionV>
            <wp:extent cx="1727200" cy="581025"/>
            <wp:effectExtent l="0" t="0" r="6350" b="9525"/>
            <wp:wrapTight wrapText="bothSides">
              <wp:wrapPolygon edited="0">
                <wp:start x="0" y="0"/>
                <wp:lineTo x="0" y="21246"/>
                <wp:lineTo x="21441" y="21246"/>
                <wp:lineTo x="2144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438" w:rsidRPr="009856AF" w:rsidRDefault="004128AA">
      <w:pPr>
        <w:tabs>
          <w:tab w:val="left" w:pos="4005"/>
        </w:tabs>
        <w:ind w:right="-1"/>
        <w:rPr>
          <w:rFonts w:ascii="Arial" w:eastAsia="Arial" w:hAnsi="Arial"/>
          <w:b/>
          <w:lang w:val="it-IT"/>
        </w:rPr>
      </w:pPr>
      <w:r w:rsidRPr="009856AF">
        <w:rPr>
          <w:rFonts w:ascii="Arial" w:eastAsia="Malgun Gothic" w:hAnsi="Malgun Gothic"/>
          <w:b/>
          <w:lang w:val="it-IT"/>
        </w:rPr>
        <w:tab/>
      </w:r>
    </w:p>
    <w:p w:rsidR="006D5438" w:rsidRPr="009856AF" w:rsidRDefault="006D5438">
      <w:pPr>
        <w:ind w:right="-1"/>
        <w:jc w:val="center"/>
        <w:rPr>
          <w:rFonts w:ascii="Arial" w:eastAsia="Arial" w:hAnsi="Arial"/>
          <w:b/>
          <w:lang w:val="it-IT"/>
        </w:rPr>
      </w:pPr>
    </w:p>
    <w:p w:rsidR="006D5438" w:rsidRPr="009856AF" w:rsidRDefault="006D5438">
      <w:pPr>
        <w:ind w:right="-1"/>
        <w:jc w:val="center"/>
        <w:rPr>
          <w:rFonts w:ascii="Arial" w:eastAsia="Arial" w:hAnsi="Arial"/>
          <w:b/>
          <w:lang w:val="it-IT"/>
        </w:rPr>
      </w:pPr>
    </w:p>
    <w:p w:rsidR="006D5438" w:rsidRPr="009856AF" w:rsidRDefault="006D5438">
      <w:pPr>
        <w:ind w:right="-1"/>
        <w:jc w:val="center"/>
        <w:rPr>
          <w:rFonts w:ascii="Arial" w:eastAsia="Arial" w:hAnsi="Arial"/>
          <w:b/>
          <w:lang w:val="it-IT"/>
        </w:rPr>
      </w:pPr>
    </w:p>
    <w:p w:rsidR="006D5438" w:rsidRPr="009856AF" w:rsidRDefault="006D5438">
      <w:pPr>
        <w:ind w:right="-1"/>
        <w:jc w:val="center"/>
        <w:rPr>
          <w:rFonts w:ascii="Arial" w:eastAsia="Arial" w:hAnsi="Arial"/>
          <w:b/>
          <w:lang w:val="it-IT"/>
        </w:rPr>
      </w:pPr>
    </w:p>
    <w:p w:rsidR="006D5438" w:rsidRPr="009856AF" w:rsidRDefault="006D5438">
      <w:pPr>
        <w:ind w:right="-1"/>
        <w:jc w:val="center"/>
        <w:rPr>
          <w:rFonts w:ascii="Arial" w:eastAsia="Arial" w:hAnsi="Arial"/>
          <w:b/>
          <w:lang w:val="it-IT"/>
        </w:rPr>
      </w:pPr>
    </w:p>
    <w:p w:rsidR="006D5438" w:rsidRPr="009856AF" w:rsidRDefault="006D5438">
      <w:pPr>
        <w:ind w:right="-1"/>
        <w:jc w:val="center"/>
        <w:rPr>
          <w:rFonts w:ascii="Arial" w:eastAsia="Arial" w:hAnsi="Arial"/>
          <w:b/>
          <w:lang w:val="it-IT"/>
        </w:rPr>
      </w:pPr>
    </w:p>
    <w:p w:rsidR="006D5438" w:rsidRPr="004128AA" w:rsidRDefault="004128AA">
      <w:pPr>
        <w:ind w:left="2124" w:right="284" w:firstLine="708"/>
        <w:rPr>
          <w:b/>
          <w:sz w:val="28"/>
          <w:szCs w:val="28"/>
          <w:lang w:val="it-IT"/>
        </w:rPr>
      </w:pPr>
      <w:r w:rsidRPr="004128AA">
        <w:rPr>
          <w:b/>
          <w:sz w:val="28"/>
          <w:szCs w:val="28"/>
          <w:lang w:val="it-IT"/>
        </w:rPr>
        <w:t>COMUNICATO STAMPA</w:t>
      </w:r>
    </w:p>
    <w:p w:rsidR="006D5438" w:rsidRPr="004128AA" w:rsidRDefault="006D5438">
      <w:pPr>
        <w:ind w:left="2124" w:right="284" w:firstLine="708"/>
        <w:rPr>
          <w:b/>
          <w:sz w:val="28"/>
          <w:szCs w:val="28"/>
          <w:lang w:val="it-IT"/>
        </w:rPr>
      </w:pPr>
    </w:p>
    <w:p w:rsidR="006D5438" w:rsidRPr="004128AA" w:rsidRDefault="006D5438">
      <w:pPr>
        <w:ind w:left="2124" w:right="284" w:firstLine="708"/>
        <w:rPr>
          <w:b/>
          <w:sz w:val="28"/>
          <w:szCs w:val="28"/>
          <w:lang w:val="it-IT"/>
        </w:rPr>
      </w:pPr>
    </w:p>
    <w:p w:rsidR="0091373C" w:rsidRPr="0091373C" w:rsidRDefault="0091373C" w:rsidP="0091373C">
      <w:pPr>
        <w:ind w:right="284"/>
        <w:jc w:val="center"/>
        <w:rPr>
          <w:b/>
          <w:sz w:val="28"/>
          <w:szCs w:val="28"/>
          <w:lang w:val="it-IT"/>
        </w:rPr>
      </w:pPr>
      <w:r w:rsidRPr="0091373C">
        <w:rPr>
          <w:b/>
          <w:sz w:val="28"/>
          <w:szCs w:val="28"/>
          <w:lang w:val="it-IT"/>
        </w:rPr>
        <w:t xml:space="preserve">BANCA CARIGE </w:t>
      </w:r>
      <w:r w:rsidR="000B1EA4">
        <w:rPr>
          <w:b/>
          <w:sz w:val="28"/>
          <w:szCs w:val="28"/>
          <w:lang w:val="it-IT"/>
        </w:rPr>
        <w:t>E</w:t>
      </w:r>
      <w:r w:rsidR="000B1EA4" w:rsidRPr="0091373C">
        <w:rPr>
          <w:b/>
          <w:sz w:val="28"/>
          <w:szCs w:val="28"/>
          <w:lang w:val="it-IT"/>
        </w:rPr>
        <w:t xml:space="preserve"> </w:t>
      </w:r>
      <w:r w:rsidRPr="0091373C">
        <w:rPr>
          <w:b/>
          <w:sz w:val="28"/>
          <w:szCs w:val="28"/>
          <w:lang w:val="it-IT"/>
        </w:rPr>
        <w:t>NEXI FIRMANO ACCORDO PER LA CREAZIONE</w:t>
      </w:r>
    </w:p>
    <w:p w:rsidR="006D5438" w:rsidRPr="004128AA" w:rsidRDefault="0091373C" w:rsidP="0091373C">
      <w:pPr>
        <w:ind w:right="284"/>
        <w:jc w:val="center"/>
        <w:rPr>
          <w:b/>
          <w:sz w:val="28"/>
          <w:szCs w:val="28"/>
          <w:lang w:val="it-IT"/>
        </w:rPr>
      </w:pPr>
      <w:r w:rsidRPr="0091373C">
        <w:rPr>
          <w:b/>
          <w:sz w:val="28"/>
          <w:szCs w:val="28"/>
          <w:lang w:val="it-IT"/>
        </w:rPr>
        <w:t xml:space="preserve">DI UNA </w:t>
      </w:r>
      <w:r w:rsidRPr="00240A06">
        <w:rPr>
          <w:b/>
          <w:i/>
          <w:sz w:val="28"/>
          <w:szCs w:val="28"/>
          <w:lang w:val="it-IT"/>
        </w:rPr>
        <w:t>PARTNERSHIP</w:t>
      </w:r>
      <w:r w:rsidRPr="0091373C">
        <w:rPr>
          <w:b/>
          <w:sz w:val="28"/>
          <w:szCs w:val="28"/>
          <w:lang w:val="it-IT"/>
        </w:rPr>
        <w:t xml:space="preserve"> NEI SISTEMI DI PAGAMENTO</w:t>
      </w:r>
      <w:r w:rsidR="0079613D" w:rsidRPr="004128AA">
        <w:rPr>
          <w:b/>
          <w:sz w:val="28"/>
          <w:szCs w:val="28"/>
          <w:lang w:val="it-IT"/>
        </w:rPr>
        <w:t xml:space="preserve"> </w:t>
      </w:r>
    </w:p>
    <w:p w:rsidR="006D5438" w:rsidRPr="004128AA" w:rsidRDefault="006D5438">
      <w:pPr>
        <w:ind w:right="284"/>
        <w:jc w:val="center"/>
        <w:rPr>
          <w:b/>
          <w:lang w:val="it-IT"/>
        </w:rPr>
      </w:pPr>
    </w:p>
    <w:p w:rsidR="006D5438" w:rsidRDefault="003A762E" w:rsidP="00240A06">
      <w:pPr>
        <w:ind w:right="284"/>
        <w:jc w:val="center"/>
        <w:rPr>
          <w:b/>
          <w:sz w:val="28"/>
          <w:szCs w:val="28"/>
          <w:lang w:val="it-IT"/>
        </w:rPr>
      </w:pPr>
      <w:r w:rsidRPr="00240A06">
        <w:rPr>
          <w:b/>
          <w:sz w:val="28"/>
          <w:szCs w:val="28"/>
          <w:lang w:val="it-IT"/>
        </w:rPr>
        <w:t>BANCA CARIGE CEDER</w:t>
      </w:r>
      <w:r>
        <w:rPr>
          <w:b/>
          <w:sz w:val="28"/>
          <w:szCs w:val="28"/>
          <w:lang w:val="it-IT"/>
        </w:rPr>
        <w:t>À</w:t>
      </w:r>
      <w:r w:rsidRPr="00240A06">
        <w:rPr>
          <w:b/>
          <w:sz w:val="28"/>
          <w:szCs w:val="28"/>
          <w:lang w:val="it-IT"/>
        </w:rPr>
        <w:t xml:space="preserve"> AL PARTNER L</w:t>
      </w:r>
      <w:r>
        <w:rPr>
          <w:b/>
          <w:sz w:val="28"/>
          <w:szCs w:val="28"/>
          <w:lang w:val="it-IT"/>
        </w:rPr>
        <w:t xml:space="preserve">E </w:t>
      </w:r>
      <w:r w:rsidRPr="00240A06">
        <w:rPr>
          <w:b/>
          <w:sz w:val="28"/>
          <w:szCs w:val="28"/>
          <w:lang w:val="it-IT"/>
        </w:rPr>
        <w:t>ATTIVIT</w:t>
      </w:r>
      <w:r>
        <w:rPr>
          <w:b/>
          <w:sz w:val="28"/>
          <w:szCs w:val="28"/>
          <w:lang w:val="it-IT"/>
        </w:rPr>
        <w:t>À</w:t>
      </w:r>
      <w:r w:rsidRPr="00240A06">
        <w:rPr>
          <w:b/>
          <w:sz w:val="28"/>
          <w:szCs w:val="28"/>
          <w:lang w:val="it-IT"/>
        </w:rPr>
        <w:t xml:space="preserve"> D</w:t>
      </w:r>
      <w:r>
        <w:rPr>
          <w:b/>
          <w:sz w:val="28"/>
          <w:szCs w:val="28"/>
          <w:lang w:val="it-IT"/>
        </w:rPr>
        <w:t>I</w:t>
      </w:r>
      <w:r w:rsidRPr="00240A06">
        <w:rPr>
          <w:b/>
          <w:sz w:val="28"/>
          <w:szCs w:val="28"/>
          <w:lang w:val="it-IT"/>
        </w:rPr>
        <w:t xml:space="preserve"> </w:t>
      </w:r>
      <w:r w:rsidRPr="00240A06">
        <w:rPr>
          <w:b/>
          <w:i/>
          <w:sz w:val="28"/>
          <w:szCs w:val="28"/>
          <w:lang w:val="it-IT"/>
        </w:rPr>
        <w:t>MERCHANT</w:t>
      </w:r>
      <w:r w:rsidRPr="00240A06">
        <w:rPr>
          <w:b/>
          <w:sz w:val="28"/>
          <w:szCs w:val="28"/>
          <w:lang w:val="it-IT"/>
        </w:rPr>
        <w:t xml:space="preserve"> </w:t>
      </w:r>
      <w:r w:rsidRPr="00240A06">
        <w:rPr>
          <w:b/>
          <w:i/>
          <w:sz w:val="28"/>
          <w:szCs w:val="28"/>
          <w:lang w:val="it-IT"/>
        </w:rPr>
        <w:t>ACQUIRING</w:t>
      </w:r>
    </w:p>
    <w:p w:rsidR="00240A06" w:rsidRPr="00240A06" w:rsidRDefault="00240A06" w:rsidP="00240A06">
      <w:pPr>
        <w:ind w:right="284"/>
        <w:jc w:val="center"/>
        <w:rPr>
          <w:b/>
          <w:sz w:val="28"/>
          <w:szCs w:val="28"/>
          <w:lang w:val="it-IT"/>
        </w:rPr>
      </w:pPr>
    </w:p>
    <w:p w:rsidR="006D5438" w:rsidRPr="00240A06" w:rsidRDefault="006D5438" w:rsidP="00240A06">
      <w:pPr>
        <w:ind w:right="284"/>
        <w:jc w:val="center"/>
        <w:rPr>
          <w:b/>
          <w:sz w:val="28"/>
          <w:szCs w:val="28"/>
          <w:lang w:val="it-IT"/>
        </w:rPr>
      </w:pPr>
    </w:p>
    <w:p w:rsidR="0091373C" w:rsidRPr="0091373C" w:rsidRDefault="004128AA" w:rsidP="0091373C">
      <w:pPr>
        <w:spacing w:after="120" w:line="480" w:lineRule="auto"/>
        <w:jc w:val="both"/>
        <w:rPr>
          <w:sz w:val="24"/>
          <w:szCs w:val="24"/>
          <w:lang w:val="it-IT"/>
        </w:rPr>
      </w:pPr>
      <w:r w:rsidRPr="004128AA">
        <w:rPr>
          <w:i/>
          <w:sz w:val="24"/>
          <w:szCs w:val="24"/>
          <w:lang w:val="it-IT"/>
        </w:rPr>
        <w:t>Genova, 3 aprile 2018</w:t>
      </w:r>
      <w:r w:rsidRPr="004128AA">
        <w:rPr>
          <w:sz w:val="24"/>
          <w:szCs w:val="24"/>
          <w:lang w:val="it-IT"/>
        </w:rPr>
        <w:t xml:space="preserve"> – </w:t>
      </w:r>
      <w:r w:rsidR="0091373C" w:rsidRPr="0091373C">
        <w:rPr>
          <w:sz w:val="24"/>
          <w:szCs w:val="24"/>
          <w:lang w:val="it-IT"/>
        </w:rPr>
        <w:t xml:space="preserve">Banca Carige S.p.A. (“Banca Carige”) e Nexi S.p.A (“Nexi”), società </w:t>
      </w:r>
      <w:r w:rsidR="0091373C" w:rsidRPr="0091373C">
        <w:rPr>
          <w:i/>
          <w:sz w:val="24"/>
          <w:szCs w:val="24"/>
          <w:lang w:val="it-IT"/>
        </w:rPr>
        <w:t>leader</w:t>
      </w:r>
      <w:r w:rsidR="0091373C" w:rsidRPr="0091373C">
        <w:rPr>
          <w:sz w:val="24"/>
          <w:szCs w:val="24"/>
          <w:lang w:val="it-IT"/>
        </w:rPr>
        <w:t xml:space="preserve"> nella gestione dei servizi di pagamento, comunicano di aver siglato in data odierna una </w:t>
      </w:r>
      <w:r w:rsidR="0091373C" w:rsidRPr="0091373C">
        <w:rPr>
          <w:i/>
          <w:sz w:val="24"/>
          <w:szCs w:val="24"/>
          <w:lang w:val="it-IT"/>
        </w:rPr>
        <w:t>partnership</w:t>
      </w:r>
      <w:r w:rsidR="0091373C" w:rsidRPr="0091373C">
        <w:rPr>
          <w:sz w:val="24"/>
          <w:szCs w:val="24"/>
          <w:lang w:val="it-IT"/>
        </w:rPr>
        <w:t xml:space="preserve"> di durata decennale per il collocamento, attraverso la rete distributiva del Gruppo Carige, di nuovi prodotti e servizi di pagamento innovativi.</w:t>
      </w:r>
    </w:p>
    <w:p w:rsidR="0091373C" w:rsidRPr="0091373C" w:rsidRDefault="0091373C" w:rsidP="0091373C">
      <w:pPr>
        <w:spacing w:after="120" w:line="480" w:lineRule="auto"/>
        <w:jc w:val="both"/>
        <w:rPr>
          <w:sz w:val="24"/>
          <w:szCs w:val="24"/>
          <w:lang w:val="it-IT"/>
        </w:rPr>
      </w:pPr>
      <w:r w:rsidRPr="0091373C">
        <w:rPr>
          <w:sz w:val="24"/>
          <w:szCs w:val="24"/>
          <w:lang w:val="it-IT"/>
        </w:rPr>
        <w:t xml:space="preserve">L’accordo prevede la cessione del </w:t>
      </w:r>
      <w:r w:rsidRPr="0091373C">
        <w:rPr>
          <w:i/>
          <w:sz w:val="24"/>
          <w:szCs w:val="24"/>
          <w:lang w:val="it-IT"/>
        </w:rPr>
        <w:t>business</w:t>
      </w:r>
      <w:r w:rsidRPr="0091373C">
        <w:rPr>
          <w:sz w:val="24"/>
          <w:szCs w:val="24"/>
          <w:lang w:val="it-IT"/>
        </w:rPr>
        <w:t xml:space="preserve"> del </w:t>
      </w:r>
      <w:r w:rsidRPr="0091373C">
        <w:rPr>
          <w:i/>
          <w:sz w:val="24"/>
          <w:szCs w:val="24"/>
          <w:lang w:val="it-IT"/>
        </w:rPr>
        <w:t>Merchant</w:t>
      </w:r>
      <w:r w:rsidRPr="0091373C">
        <w:rPr>
          <w:sz w:val="24"/>
          <w:szCs w:val="24"/>
          <w:lang w:val="it-IT"/>
        </w:rPr>
        <w:t xml:space="preserve"> </w:t>
      </w:r>
      <w:r w:rsidRPr="0091373C">
        <w:rPr>
          <w:i/>
          <w:sz w:val="24"/>
          <w:szCs w:val="24"/>
          <w:lang w:val="it-IT"/>
        </w:rPr>
        <w:t>Acquiring</w:t>
      </w:r>
      <w:r w:rsidRPr="0091373C">
        <w:rPr>
          <w:sz w:val="24"/>
          <w:szCs w:val="24"/>
          <w:lang w:val="it-IT"/>
        </w:rPr>
        <w:t xml:space="preserve"> da parte di Banca Carige a Nexi Payments S.p.A. (“Nexi Payments”) controllata da Nexi per un corrispettivo pari a €25 milioni.</w:t>
      </w:r>
    </w:p>
    <w:p w:rsidR="0091373C" w:rsidRPr="0091373C" w:rsidRDefault="0091373C" w:rsidP="0091373C">
      <w:pPr>
        <w:spacing w:after="120" w:line="480" w:lineRule="auto"/>
        <w:jc w:val="both"/>
        <w:rPr>
          <w:sz w:val="24"/>
          <w:szCs w:val="24"/>
          <w:lang w:val="it-IT"/>
        </w:rPr>
      </w:pPr>
      <w:r w:rsidRPr="0091373C">
        <w:rPr>
          <w:sz w:val="24"/>
          <w:szCs w:val="24"/>
          <w:lang w:val="it-IT"/>
        </w:rPr>
        <w:t xml:space="preserve">Banca Carige gestisce il </w:t>
      </w:r>
      <w:r w:rsidRPr="0091373C">
        <w:rPr>
          <w:i/>
          <w:sz w:val="24"/>
          <w:szCs w:val="24"/>
          <w:lang w:val="it-IT"/>
        </w:rPr>
        <w:t>business</w:t>
      </w:r>
      <w:r w:rsidRPr="0091373C">
        <w:rPr>
          <w:sz w:val="24"/>
          <w:szCs w:val="24"/>
          <w:lang w:val="it-IT"/>
        </w:rPr>
        <w:t xml:space="preserve"> del </w:t>
      </w:r>
      <w:r w:rsidRPr="0091373C">
        <w:rPr>
          <w:i/>
          <w:sz w:val="24"/>
          <w:szCs w:val="24"/>
          <w:lang w:val="it-IT"/>
        </w:rPr>
        <w:t>Merchant</w:t>
      </w:r>
      <w:r w:rsidRPr="0091373C">
        <w:rPr>
          <w:sz w:val="24"/>
          <w:szCs w:val="24"/>
          <w:lang w:val="it-IT"/>
        </w:rPr>
        <w:t xml:space="preserve"> </w:t>
      </w:r>
      <w:r w:rsidRPr="0091373C">
        <w:rPr>
          <w:i/>
          <w:sz w:val="24"/>
          <w:szCs w:val="24"/>
          <w:lang w:val="it-IT"/>
        </w:rPr>
        <w:t>Acquiring</w:t>
      </w:r>
      <w:r w:rsidRPr="0091373C">
        <w:rPr>
          <w:sz w:val="24"/>
          <w:szCs w:val="24"/>
          <w:lang w:val="it-IT"/>
        </w:rPr>
        <w:t xml:space="preserve"> distribuendo prodotti e servizi a circa 20 mila clienti attraverso il proprio </w:t>
      </w:r>
      <w:r w:rsidRPr="0091373C">
        <w:rPr>
          <w:i/>
          <w:sz w:val="24"/>
          <w:szCs w:val="24"/>
          <w:lang w:val="it-IT"/>
        </w:rPr>
        <w:t>network</w:t>
      </w:r>
      <w:r w:rsidRPr="0091373C">
        <w:rPr>
          <w:sz w:val="24"/>
          <w:szCs w:val="24"/>
          <w:lang w:val="it-IT"/>
        </w:rPr>
        <w:t xml:space="preserve"> di filiali presenti in Italia. Nel 2017 il </w:t>
      </w:r>
      <w:r w:rsidRPr="0091373C">
        <w:rPr>
          <w:i/>
          <w:sz w:val="24"/>
          <w:szCs w:val="24"/>
          <w:lang w:val="it-IT"/>
        </w:rPr>
        <w:t>Merchant</w:t>
      </w:r>
      <w:r w:rsidRPr="0091373C">
        <w:rPr>
          <w:sz w:val="24"/>
          <w:szCs w:val="24"/>
          <w:lang w:val="it-IT"/>
        </w:rPr>
        <w:t xml:space="preserve"> </w:t>
      </w:r>
      <w:r w:rsidRPr="0091373C">
        <w:rPr>
          <w:i/>
          <w:sz w:val="24"/>
          <w:szCs w:val="24"/>
          <w:lang w:val="it-IT"/>
        </w:rPr>
        <w:t>Acquiring</w:t>
      </w:r>
      <w:r w:rsidRPr="0091373C">
        <w:rPr>
          <w:sz w:val="24"/>
          <w:szCs w:val="24"/>
          <w:lang w:val="it-IT"/>
        </w:rPr>
        <w:t xml:space="preserve"> ha realizzato transazioni per un volume complessivo di €1,8 miliardi. </w:t>
      </w:r>
    </w:p>
    <w:p w:rsidR="0091373C" w:rsidRDefault="0091373C" w:rsidP="0091373C">
      <w:pPr>
        <w:spacing w:after="120" w:line="480" w:lineRule="auto"/>
        <w:jc w:val="both"/>
        <w:rPr>
          <w:sz w:val="24"/>
          <w:szCs w:val="24"/>
          <w:lang w:val="it-IT"/>
        </w:rPr>
      </w:pPr>
      <w:r w:rsidRPr="0091373C">
        <w:rPr>
          <w:sz w:val="24"/>
          <w:szCs w:val="24"/>
          <w:lang w:val="it-IT"/>
        </w:rPr>
        <w:t xml:space="preserve">Grazie alla </w:t>
      </w:r>
      <w:r w:rsidRPr="0091373C">
        <w:rPr>
          <w:i/>
          <w:sz w:val="24"/>
          <w:szCs w:val="24"/>
          <w:lang w:val="it-IT"/>
        </w:rPr>
        <w:t>partnership</w:t>
      </w:r>
      <w:r w:rsidRPr="0091373C">
        <w:rPr>
          <w:sz w:val="24"/>
          <w:szCs w:val="24"/>
          <w:lang w:val="it-IT"/>
        </w:rPr>
        <w:t xml:space="preserve"> Banca Carige potrà avvalersi della specializzazione e della capacit</w:t>
      </w:r>
      <w:r>
        <w:rPr>
          <w:sz w:val="24"/>
          <w:szCs w:val="24"/>
          <w:lang w:val="it-IT"/>
        </w:rPr>
        <w:t>à</w:t>
      </w:r>
      <w:r w:rsidRPr="0091373C">
        <w:rPr>
          <w:sz w:val="24"/>
          <w:szCs w:val="24"/>
          <w:lang w:val="it-IT"/>
        </w:rPr>
        <w:t xml:space="preserve"> d’investimento di Nexi, </w:t>
      </w:r>
      <w:r w:rsidRPr="0091373C">
        <w:rPr>
          <w:i/>
          <w:sz w:val="24"/>
          <w:szCs w:val="24"/>
          <w:lang w:val="it-IT"/>
        </w:rPr>
        <w:t>leader</w:t>
      </w:r>
      <w:r w:rsidRPr="0091373C">
        <w:rPr>
          <w:sz w:val="24"/>
          <w:szCs w:val="24"/>
          <w:lang w:val="it-IT"/>
        </w:rPr>
        <w:t xml:space="preserve"> nel settore dei pagamenti digitali, e potrà distribuire ai suoi clienti nuovi e innovativi </w:t>
      </w:r>
      <w:r w:rsidR="00C21D54">
        <w:rPr>
          <w:sz w:val="24"/>
          <w:szCs w:val="24"/>
          <w:lang w:val="it-IT"/>
        </w:rPr>
        <w:t>sistemi di gestione degli</w:t>
      </w:r>
      <w:r w:rsidRPr="0091373C">
        <w:rPr>
          <w:sz w:val="24"/>
          <w:szCs w:val="24"/>
          <w:lang w:val="it-IT"/>
        </w:rPr>
        <w:t xml:space="preserve"> incassi </w:t>
      </w:r>
      <w:r w:rsidR="00C21D54">
        <w:rPr>
          <w:sz w:val="24"/>
          <w:szCs w:val="24"/>
          <w:lang w:val="it-IT"/>
        </w:rPr>
        <w:t>che offriranno maggiore velocità di esecuzione delle transazioni e maggior sicurezza</w:t>
      </w:r>
      <w:r w:rsidRPr="0091373C">
        <w:rPr>
          <w:sz w:val="24"/>
          <w:szCs w:val="24"/>
          <w:lang w:val="it-IT"/>
        </w:rPr>
        <w:t xml:space="preserve">. </w:t>
      </w:r>
    </w:p>
    <w:p w:rsidR="0091373C" w:rsidRPr="0091373C" w:rsidRDefault="0091373C" w:rsidP="0091373C">
      <w:pPr>
        <w:spacing w:after="120" w:line="480" w:lineRule="auto"/>
        <w:jc w:val="both"/>
        <w:rPr>
          <w:sz w:val="24"/>
          <w:szCs w:val="24"/>
          <w:lang w:val="it-IT"/>
        </w:rPr>
      </w:pPr>
      <w:r w:rsidRPr="0091373C">
        <w:rPr>
          <w:sz w:val="24"/>
          <w:szCs w:val="24"/>
          <w:lang w:val="it-IT"/>
        </w:rPr>
        <w:lastRenderedPageBreak/>
        <w:t>Banca Carige</w:t>
      </w:r>
      <w:r w:rsidR="00C21D54">
        <w:rPr>
          <w:sz w:val="24"/>
          <w:szCs w:val="24"/>
          <w:lang w:val="it-IT"/>
        </w:rPr>
        <w:t>, avvalendosi di nuove soluzioni</w:t>
      </w:r>
      <w:r w:rsidRPr="0091373C">
        <w:rPr>
          <w:sz w:val="24"/>
          <w:szCs w:val="24"/>
          <w:lang w:val="it-IT"/>
        </w:rPr>
        <w:t xml:space="preserve"> studiate</w:t>
      </w:r>
      <w:r w:rsidR="00C21D54">
        <w:rPr>
          <w:sz w:val="24"/>
          <w:szCs w:val="24"/>
          <w:lang w:val="it-IT"/>
        </w:rPr>
        <w:t xml:space="preserve"> e sviluppate</w:t>
      </w:r>
      <w:r w:rsidRPr="0091373C">
        <w:rPr>
          <w:sz w:val="24"/>
          <w:szCs w:val="24"/>
          <w:lang w:val="it-IT"/>
        </w:rPr>
        <w:t xml:space="preserve"> da Nexi</w:t>
      </w:r>
      <w:r w:rsidR="00C21D54">
        <w:rPr>
          <w:sz w:val="24"/>
          <w:szCs w:val="24"/>
          <w:lang w:val="it-IT"/>
        </w:rPr>
        <w:t>, potrà</w:t>
      </w:r>
      <w:r w:rsidRPr="0091373C">
        <w:rPr>
          <w:sz w:val="24"/>
          <w:szCs w:val="24"/>
          <w:lang w:val="it-IT"/>
        </w:rPr>
        <w:t xml:space="preserve"> accelerare l’uso delle carte anche per i piccoli pagamenti quotidiani</w:t>
      </w:r>
      <w:r w:rsidR="00C21D54">
        <w:rPr>
          <w:sz w:val="24"/>
          <w:szCs w:val="24"/>
          <w:lang w:val="it-IT"/>
        </w:rPr>
        <w:t>,</w:t>
      </w:r>
      <w:r w:rsidRPr="0091373C">
        <w:rPr>
          <w:sz w:val="24"/>
          <w:szCs w:val="24"/>
          <w:lang w:val="it-IT"/>
        </w:rPr>
        <w:t xml:space="preserve"> e </w:t>
      </w:r>
      <w:r w:rsidR="00C21D54">
        <w:rPr>
          <w:sz w:val="24"/>
          <w:szCs w:val="24"/>
          <w:lang w:val="it-IT"/>
        </w:rPr>
        <w:t xml:space="preserve">potrà offrire alla propria clientela </w:t>
      </w:r>
      <w:r w:rsidRPr="0091373C">
        <w:rPr>
          <w:sz w:val="24"/>
          <w:szCs w:val="24"/>
          <w:lang w:val="it-IT"/>
        </w:rPr>
        <w:t xml:space="preserve">la nuova gamma di carte di credito e debito internazionale che permettono di </w:t>
      </w:r>
      <w:r w:rsidR="00C21D54">
        <w:rPr>
          <w:sz w:val="24"/>
          <w:szCs w:val="24"/>
          <w:lang w:val="it-IT"/>
        </w:rPr>
        <w:t>utilizzare forme di pagamento digitali</w:t>
      </w:r>
      <w:r w:rsidRPr="0091373C">
        <w:rPr>
          <w:sz w:val="24"/>
          <w:szCs w:val="24"/>
          <w:lang w:val="it-IT"/>
        </w:rPr>
        <w:t>.</w:t>
      </w:r>
    </w:p>
    <w:p w:rsidR="0091373C" w:rsidRPr="0091373C" w:rsidRDefault="0091373C" w:rsidP="0091373C">
      <w:pPr>
        <w:spacing w:after="120" w:line="480" w:lineRule="auto"/>
        <w:jc w:val="both"/>
        <w:rPr>
          <w:sz w:val="24"/>
          <w:szCs w:val="24"/>
          <w:lang w:val="it-IT"/>
        </w:rPr>
      </w:pPr>
      <w:r w:rsidRPr="0091373C">
        <w:rPr>
          <w:sz w:val="24"/>
          <w:szCs w:val="24"/>
          <w:lang w:val="it-IT"/>
        </w:rPr>
        <w:t xml:space="preserve">La </w:t>
      </w:r>
      <w:r w:rsidRPr="0091373C">
        <w:rPr>
          <w:i/>
          <w:sz w:val="24"/>
          <w:szCs w:val="24"/>
          <w:lang w:val="it-IT"/>
        </w:rPr>
        <w:t>partnership</w:t>
      </w:r>
      <w:r w:rsidRPr="0091373C">
        <w:rPr>
          <w:sz w:val="24"/>
          <w:szCs w:val="24"/>
          <w:lang w:val="it-IT"/>
        </w:rPr>
        <w:t xml:space="preserve"> decennale potrà generare commissioni per un valore </w:t>
      </w:r>
      <w:r w:rsidR="00BE20FD">
        <w:rPr>
          <w:sz w:val="24"/>
          <w:szCs w:val="24"/>
          <w:lang w:val="it-IT"/>
        </w:rPr>
        <w:t>di circa</w:t>
      </w:r>
      <w:r w:rsidRPr="0091373C">
        <w:rPr>
          <w:sz w:val="24"/>
          <w:szCs w:val="24"/>
          <w:lang w:val="it-IT"/>
        </w:rPr>
        <w:t xml:space="preserve"> €15 milioni, legati al raggiungimento di determinati </w:t>
      </w:r>
      <w:r w:rsidRPr="0091373C">
        <w:rPr>
          <w:i/>
          <w:sz w:val="24"/>
          <w:szCs w:val="24"/>
          <w:lang w:val="it-IT"/>
        </w:rPr>
        <w:t>target</w:t>
      </w:r>
      <w:r w:rsidRPr="0091373C">
        <w:rPr>
          <w:sz w:val="24"/>
          <w:szCs w:val="24"/>
          <w:lang w:val="it-IT"/>
        </w:rPr>
        <w:t xml:space="preserve"> commerciali per il collocamento dei servizi connessi al </w:t>
      </w:r>
      <w:r w:rsidRPr="0091373C">
        <w:rPr>
          <w:i/>
          <w:sz w:val="24"/>
          <w:szCs w:val="24"/>
          <w:lang w:val="it-IT"/>
        </w:rPr>
        <w:t>business</w:t>
      </w:r>
      <w:r w:rsidRPr="0091373C">
        <w:rPr>
          <w:sz w:val="24"/>
          <w:szCs w:val="24"/>
          <w:lang w:val="it-IT"/>
        </w:rPr>
        <w:t xml:space="preserve"> del </w:t>
      </w:r>
      <w:r w:rsidRPr="0091373C">
        <w:rPr>
          <w:i/>
          <w:sz w:val="24"/>
          <w:szCs w:val="24"/>
          <w:lang w:val="it-IT"/>
        </w:rPr>
        <w:t>Merchant</w:t>
      </w:r>
      <w:r w:rsidRPr="0091373C">
        <w:rPr>
          <w:sz w:val="24"/>
          <w:szCs w:val="24"/>
          <w:lang w:val="it-IT"/>
        </w:rPr>
        <w:t xml:space="preserve"> </w:t>
      </w:r>
      <w:r w:rsidRPr="0091373C">
        <w:rPr>
          <w:i/>
          <w:sz w:val="24"/>
          <w:szCs w:val="24"/>
          <w:lang w:val="it-IT"/>
        </w:rPr>
        <w:t>Acquiring</w:t>
      </w:r>
      <w:r w:rsidR="00BE20FD">
        <w:rPr>
          <w:sz w:val="24"/>
          <w:szCs w:val="24"/>
          <w:lang w:val="it-IT"/>
        </w:rPr>
        <w:t xml:space="preserve">, oltre a quanto verrà generato dal collocamento dei servizi connessi </w:t>
      </w:r>
      <w:r w:rsidR="00B1478B">
        <w:rPr>
          <w:sz w:val="24"/>
          <w:szCs w:val="24"/>
          <w:lang w:val="it-IT"/>
        </w:rPr>
        <w:t>agli altri accordi</w:t>
      </w:r>
      <w:bookmarkStart w:id="0" w:name="_GoBack"/>
      <w:bookmarkEnd w:id="0"/>
      <w:r w:rsidR="00240A06">
        <w:rPr>
          <w:i/>
          <w:sz w:val="24"/>
          <w:szCs w:val="24"/>
          <w:lang w:val="it-IT"/>
        </w:rPr>
        <w:t>.</w:t>
      </w:r>
    </w:p>
    <w:p w:rsidR="0091373C" w:rsidRPr="0091373C" w:rsidRDefault="0091373C" w:rsidP="0091373C">
      <w:pPr>
        <w:spacing w:after="120" w:line="480" w:lineRule="auto"/>
        <w:jc w:val="both"/>
        <w:rPr>
          <w:sz w:val="24"/>
          <w:szCs w:val="24"/>
          <w:lang w:val="it-IT"/>
        </w:rPr>
      </w:pPr>
      <w:r w:rsidRPr="0091373C">
        <w:rPr>
          <w:sz w:val="24"/>
          <w:szCs w:val="24"/>
          <w:lang w:val="it-IT"/>
        </w:rPr>
        <w:t xml:space="preserve">Il </w:t>
      </w:r>
      <w:r w:rsidRPr="0091373C">
        <w:rPr>
          <w:i/>
          <w:sz w:val="24"/>
          <w:szCs w:val="24"/>
          <w:lang w:val="it-IT"/>
        </w:rPr>
        <w:t>closing</w:t>
      </w:r>
      <w:r w:rsidRPr="0091373C">
        <w:rPr>
          <w:sz w:val="24"/>
          <w:szCs w:val="24"/>
          <w:lang w:val="it-IT"/>
        </w:rPr>
        <w:t xml:space="preserve"> dell’operazione, previsto nel secondo semestre dell’anno, è subordinato</w:t>
      </w:r>
      <w:r w:rsidR="00C76C20">
        <w:rPr>
          <w:sz w:val="24"/>
          <w:szCs w:val="24"/>
          <w:lang w:val="it-IT"/>
        </w:rPr>
        <w:t>, tra l’altro,</w:t>
      </w:r>
      <w:r w:rsidRPr="0091373C">
        <w:rPr>
          <w:sz w:val="24"/>
          <w:szCs w:val="24"/>
          <w:lang w:val="it-IT"/>
        </w:rPr>
        <w:t xml:space="preserve"> all’autorizzazione da parte della Banca d’Italia.</w:t>
      </w:r>
    </w:p>
    <w:p w:rsidR="006D5438" w:rsidRPr="004128AA" w:rsidRDefault="0091373C" w:rsidP="0091373C">
      <w:pPr>
        <w:spacing w:after="120" w:line="480" w:lineRule="auto"/>
        <w:jc w:val="both"/>
        <w:rPr>
          <w:sz w:val="24"/>
          <w:szCs w:val="24"/>
          <w:lang w:val="it-IT"/>
        </w:rPr>
      </w:pPr>
      <w:r w:rsidRPr="0091373C">
        <w:rPr>
          <w:sz w:val="24"/>
          <w:szCs w:val="24"/>
          <w:lang w:val="it-IT"/>
        </w:rPr>
        <w:t xml:space="preserve">Nella transazione Banca Carige si è avvalsa dell’assistenza di PwC Deals in qualità di </w:t>
      </w:r>
      <w:r w:rsidRPr="0091373C">
        <w:rPr>
          <w:i/>
          <w:sz w:val="24"/>
          <w:szCs w:val="24"/>
          <w:lang w:val="it-IT"/>
        </w:rPr>
        <w:t>advisor</w:t>
      </w:r>
      <w:r w:rsidRPr="0091373C">
        <w:rPr>
          <w:sz w:val="24"/>
          <w:szCs w:val="24"/>
          <w:lang w:val="it-IT"/>
        </w:rPr>
        <w:t xml:space="preserve"> finanziario e dello studio Gianni Origoni Grippo Cappelli &amp; Partners in qualità di </w:t>
      </w:r>
      <w:r w:rsidRPr="0091373C">
        <w:rPr>
          <w:i/>
          <w:sz w:val="24"/>
          <w:szCs w:val="24"/>
          <w:lang w:val="it-IT"/>
        </w:rPr>
        <w:t>advisor</w:t>
      </w:r>
      <w:r w:rsidRPr="0091373C">
        <w:rPr>
          <w:sz w:val="24"/>
          <w:szCs w:val="24"/>
          <w:lang w:val="it-IT"/>
        </w:rPr>
        <w:t xml:space="preserve"> legale</w:t>
      </w:r>
      <w:r w:rsidR="00240A06">
        <w:rPr>
          <w:sz w:val="24"/>
          <w:szCs w:val="24"/>
          <w:lang w:val="it-IT"/>
        </w:rPr>
        <w:t>,</w:t>
      </w:r>
      <w:r w:rsidR="00C76C20">
        <w:rPr>
          <w:sz w:val="24"/>
          <w:szCs w:val="24"/>
          <w:lang w:val="it-IT"/>
        </w:rPr>
        <w:t xml:space="preserve"> mentre Nexi si è avvalsa della consulenza dello studio legale BonelliErede</w:t>
      </w:r>
      <w:r w:rsidRPr="0091373C">
        <w:rPr>
          <w:sz w:val="24"/>
          <w:szCs w:val="24"/>
          <w:lang w:val="it-IT"/>
        </w:rPr>
        <w:t>.</w:t>
      </w:r>
      <w:r w:rsidR="004128AA" w:rsidRPr="004128AA">
        <w:rPr>
          <w:sz w:val="24"/>
          <w:szCs w:val="24"/>
          <w:lang w:val="it-IT"/>
        </w:rPr>
        <w:t xml:space="preserve"> </w:t>
      </w:r>
    </w:p>
    <w:p w:rsidR="006D5438" w:rsidRPr="004128AA" w:rsidRDefault="006D5438">
      <w:pPr>
        <w:pStyle w:val="NormaleWeb"/>
        <w:spacing w:after="120" w:line="360" w:lineRule="auto"/>
        <w:jc w:val="center"/>
        <w:rPr>
          <w:lang w:val="it-IT"/>
        </w:rPr>
      </w:pPr>
    </w:p>
    <w:p w:rsidR="006D5438" w:rsidRPr="004128AA" w:rsidRDefault="006D5438">
      <w:pPr>
        <w:pStyle w:val="NormaleWeb"/>
        <w:spacing w:after="120" w:line="360" w:lineRule="auto"/>
        <w:jc w:val="center"/>
        <w:rPr>
          <w:lang w:val="it-IT"/>
        </w:rPr>
      </w:pPr>
    </w:p>
    <w:p w:rsidR="006D5438" w:rsidRPr="004128AA" w:rsidRDefault="006D5438">
      <w:pPr>
        <w:jc w:val="center"/>
        <w:rPr>
          <w:sz w:val="24"/>
          <w:szCs w:val="24"/>
          <w:u w:val="single"/>
          <w:lang w:val="it-IT"/>
        </w:rPr>
      </w:pPr>
    </w:p>
    <w:p w:rsidR="006D5438" w:rsidRPr="004128AA" w:rsidRDefault="006D5438">
      <w:pPr>
        <w:jc w:val="center"/>
        <w:rPr>
          <w:sz w:val="24"/>
          <w:szCs w:val="24"/>
          <w:u w:val="single"/>
          <w:lang w:val="it-IT"/>
        </w:rPr>
      </w:pPr>
    </w:p>
    <w:p w:rsidR="006D5438" w:rsidRPr="004128AA" w:rsidRDefault="004128AA">
      <w:pPr>
        <w:jc w:val="both"/>
        <w:rPr>
          <w:b/>
          <w:sz w:val="23"/>
          <w:szCs w:val="23"/>
          <w:lang w:val="it-IT"/>
        </w:rPr>
      </w:pPr>
      <w:r w:rsidRPr="004128AA">
        <w:rPr>
          <w:b/>
          <w:sz w:val="23"/>
          <w:szCs w:val="23"/>
          <w:lang w:val="it-IT"/>
        </w:rPr>
        <w:t>INVESTOR RELATIONS &amp; RESEARCH</w:t>
      </w:r>
      <w:r w:rsidRPr="004128AA">
        <w:rPr>
          <w:b/>
          <w:sz w:val="23"/>
          <w:szCs w:val="23"/>
          <w:lang w:val="it-IT"/>
        </w:rPr>
        <w:tab/>
      </w:r>
      <w:r w:rsidRPr="004128AA">
        <w:rPr>
          <w:b/>
          <w:sz w:val="23"/>
          <w:szCs w:val="23"/>
          <w:lang w:val="it-IT"/>
        </w:rPr>
        <w:tab/>
      </w:r>
      <w:r w:rsidRPr="004128AA">
        <w:rPr>
          <w:b/>
          <w:sz w:val="23"/>
          <w:szCs w:val="23"/>
          <w:lang w:val="it-IT"/>
        </w:rPr>
        <w:tab/>
        <w:t>RELAZIONI ESTERNE</w:t>
      </w:r>
    </w:p>
    <w:p w:rsidR="006D5438" w:rsidRPr="004128AA" w:rsidRDefault="004128AA">
      <w:pPr>
        <w:jc w:val="both"/>
        <w:rPr>
          <w:sz w:val="23"/>
          <w:szCs w:val="23"/>
          <w:lang w:val="it-IT"/>
        </w:rPr>
      </w:pPr>
      <w:r w:rsidRPr="004128AA">
        <w:rPr>
          <w:sz w:val="23"/>
          <w:szCs w:val="23"/>
          <w:lang w:val="it-IT"/>
        </w:rPr>
        <w:t>tel. +39 010 579 4877</w:t>
      </w:r>
      <w:r w:rsidRPr="004128AA">
        <w:rPr>
          <w:sz w:val="23"/>
          <w:szCs w:val="23"/>
          <w:lang w:val="it-IT"/>
        </w:rPr>
        <w:tab/>
      </w:r>
      <w:r w:rsidRPr="004128AA">
        <w:rPr>
          <w:sz w:val="23"/>
          <w:szCs w:val="23"/>
          <w:lang w:val="it-IT"/>
        </w:rPr>
        <w:tab/>
      </w:r>
      <w:r w:rsidRPr="004128AA">
        <w:rPr>
          <w:sz w:val="23"/>
          <w:szCs w:val="23"/>
          <w:lang w:val="it-IT"/>
        </w:rPr>
        <w:tab/>
      </w:r>
      <w:r w:rsidRPr="004128AA">
        <w:rPr>
          <w:sz w:val="23"/>
          <w:szCs w:val="23"/>
          <w:lang w:val="it-IT"/>
        </w:rPr>
        <w:tab/>
      </w:r>
      <w:r w:rsidRPr="004128AA">
        <w:rPr>
          <w:sz w:val="23"/>
          <w:szCs w:val="23"/>
          <w:lang w:val="it-IT"/>
        </w:rPr>
        <w:tab/>
      </w:r>
      <w:r w:rsidRPr="004128AA">
        <w:rPr>
          <w:sz w:val="23"/>
          <w:szCs w:val="23"/>
          <w:lang w:val="it-IT"/>
        </w:rPr>
        <w:tab/>
        <w:t>tel. +39 010 579 3380</w:t>
      </w:r>
    </w:p>
    <w:p w:rsidR="006D5438" w:rsidRPr="004128AA" w:rsidRDefault="004128AA">
      <w:pPr>
        <w:jc w:val="both"/>
        <w:rPr>
          <w:sz w:val="23"/>
          <w:szCs w:val="23"/>
          <w:lang w:val="it-IT"/>
        </w:rPr>
      </w:pPr>
      <w:r w:rsidRPr="004128AA">
        <w:rPr>
          <w:sz w:val="23"/>
          <w:szCs w:val="23"/>
          <w:lang w:val="it-IT"/>
        </w:rPr>
        <w:t>fax +39 010 579 4875</w:t>
      </w:r>
      <w:r w:rsidRPr="004128AA">
        <w:rPr>
          <w:sz w:val="23"/>
          <w:szCs w:val="23"/>
          <w:lang w:val="it-IT"/>
        </w:rPr>
        <w:tab/>
      </w:r>
      <w:r w:rsidRPr="004128AA">
        <w:rPr>
          <w:sz w:val="23"/>
          <w:szCs w:val="23"/>
          <w:lang w:val="it-IT"/>
        </w:rPr>
        <w:tab/>
      </w:r>
      <w:r w:rsidRPr="004128AA">
        <w:rPr>
          <w:sz w:val="23"/>
          <w:szCs w:val="23"/>
          <w:lang w:val="it-IT"/>
        </w:rPr>
        <w:tab/>
      </w:r>
      <w:r w:rsidRPr="004128AA">
        <w:rPr>
          <w:sz w:val="23"/>
          <w:szCs w:val="23"/>
          <w:lang w:val="it-IT"/>
        </w:rPr>
        <w:tab/>
      </w:r>
      <w:r w:rsidRPr="004128AA">
        <w:rPr>
          <w:sz w:val="23"/>
          <w:szCs w:val="23"/>
          <w:lang w:val="it-IT"/>
        </w:rPr>
        <w:tab/>
      </w:r>
      <w:r w:rsidRPr="004128AA">
        <w:rPr>
          <w:sz w:val="23"/>
          <w:szCs w:val="23"/>
          <w:lang w:val="it-IT"/>
        </w:rPr>
        <w:tab/>
        <w:t>fax +39 010 579 2731</w:t>
      </w:r>
    </w:p>
    <w:p w:rsidR="006D5438" w:rsidRPr="004128AA" w:rsidRDefault="004128AA">
      <w:pPr>
        <w:jc w:val="both"/>
        <w:rPr>
          <w:color w:val="0000FF"/>
          <w:sz w:val="23"/>
          <w:szCs w:val="23"/>
          <w:u w:val="single"/>
          <w:lang w:val="it-IT"/>
        </w:rPr>
      </w:pPr>
      <w:r w:rsidRPr="004128AA">
        <w:rPr>
          <w:sz w:val="23"/>
          <w:szCs w:val="23"/>
          <w:lang w:val="it-IT"/>
        </w:rPr>
        <w:t xml:space="preserve">e-mail: </w:t>
      </w:r>
      <w:r w:rsidRPr="004128AA">
        <w:rPr>
          <w:color w:val="0000FF"/>
          <w:sz w:val="23"/>
          <w:szCs w:val="23"/>
          <w:u w:val="single"/>
          <w:lang w:val="it-IT"/>
        </w:rPr>
        <w:t>investor.relations@carige.it</w:t>
      </w:r>
      <w:r w:rsidRPr="004128AA">
        <w:rPr>
          <w:sz w:val="23"/>
          <w:szCs w:val="23"/>
          <w:lang w:val="it-IT"/>
        </w:rPr>
        <w:tab/>
      </w:r>
      <w:r w:rsidRPr="004128AA">
        <w:rPr>
          <w:sz w:val="23"/>
          <w:szCs w:val="23"/>
          <w:lang w:val="it-IT"/>
        </w:rPr>
        <w:tab/>
      </w:r>
      <w:r w:rsidRPr="004128AA">
        <w:rPr>
          <w:sz w:val="23"/>
          <w:szCs w:val="23"/>
          <w:lang w:val="it-IT"/>
        </w:rPr>
        <w:tab/>
      </w:r>
      <w:r w:rsidRPr="004128AA">
        <w:rPr>
          <w:sz w:val="23"/>
          <w:szCs w:val="23"/>
          <w:lang w:val="it-IT"/>
        </w:rPr>
        <w:tab/>
        <w:t xml:space="preserve">e-mail: </w:t>
      </w:r>
      <w:hyperlink r:id="rId9">
        <w:r w:rsidRPr="004128AA">
          <w:rPr>
            <w:color w:val="0000FF"/>
            <w:sz w:val="23"/>
            <w:szCs w:val="23"/>
            <w:u w:val="single"/>
            <w:lang w:val="it-IT"/>
          </w:rPr>
          <w:t>relazioni.esterne@carige.it</w:t>
        </w:r>
      </w:hyperlink>
    </w:p>
    <w:p w:rsidR="006D5438" w:rsidRPr="004128AA" w:rsidRDefault="006D5438">
      <w:pPr>
        <w:jc w:val="both"/>
        <w:rPr>
          <w:b/>
          <w:color w:val="000000"/>
          <w:sz w:val="22"/>
          <w:szCs w:val="22"/>
          <w:lang w:val="it-IT"/>
        </w:rPr>
      </w:pPr>
    </w:p>
    <w:p w:rsidR="006D5438" w:rsidRDefault="004128A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Image Building</w:t>
      </w:r>
    </w:p>
    <w:p w:rsidR="006D5438" w:rsidRDefault="004128A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+39 02 89011300</w:t>
      </w:r>
    </w:p>
    <w:p w:rsidR="006D5438" w:rsidRDefault="004128A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carige@imagebuilding.it</w:t>
      </w:r>
    </w:p>
    <w:p w:rsidR="006D5438" w:rsidRDefault="006D5438">
      <w:pPr>
        <w:rPr>
          <w:i/>
          <w:color w:val="808080"/>
        </w:rPr>
      </w:pPr>
    </w:p>
    <w:p w:rsidR="00B967AF" w:rsidRDefault="00B967AF">
      <w:pPr>
        <w:rPr>
          <w:i/>
          <w:color w:val="808080"/>
        </w:rPr>
      </w:pPr>
    </w:p>
    <w:p w:rsidR="00B967AF" w:rsidRDefault="00B967AF">
      <w:pPr>
        <w:rPr>
          <w:color w:val="808080"/>
        </w:rPr>
      </w:pPr>
    </w:p>
    <w:p w:rsidR="00F7411C" w:rsidRPr="00B1478B" w:rsidRDefault="00F7411C" w:rsidP="00F7411C">
      <w:pPr>
        <w:spacing w:line="260" w:lineRule="exact"/>
        <w:jc w:val="both"/>
        <w:rPr>
          <w:b/>
          <w:sz w:val="23"/>
          <w:szCs w:val="23"/>
        </w:rPr>
      </w:pPr>
      <w:r w:rsidRPr="00B1478B">
        <w:rPr>
          <w:b/>
          <w:sz w:val="23"/>
          <w:szCs w:val="23"/>
        </w:rPr>
        <w:t>External Communication &amp; Media Relations - Nexi</w:t>
      </w:r>
    </w:p>
    <w:p w:rsidR="00F7411C" w:rsidRPr="00B1478B" w:rsidRDefault="00F7411C" w:rsidP="00F7411C">
      <w:pPr>
        <w:spacing w:line="260" w:lineRule="exact"/>
        <w:jc w:val="both"/>
        <w:rPr>
          <w:sz w:val="23"/>
          <w:szCs w:val="23"/>
        </w:rPr>
      </w:pPr>
      <w:r w:rsidRPr="00B1478B">
        <w:rPr>
          <w:sz w:val="23"/>
          <w:szCs w:val="23"/>
        </w:rPr>
        <w:t>Daniele de Sanctis</w:t>
      </w:r>
      <w:r w:rsidRPr="00B1478B">
        <w:rPr>
          <w:sz w:val="23"/>
          <w:szCs w:val="23"/>
        </w:rPr>
        <w:tab/>
      </w:r>
      <w:r w:rsidRPr="00B1478B">
        <w:rPr>
          <w:sz w:val="23"/>
          <w:szCs w:val="23"/>
        </w:rPr>
        <w:tab/>
      </w:r>
      <w:r w:rsidRPr="00B1478B">
        <w:rPr>
          <w:sz w:val="23"/>
          <w:szCs w:val="23"/>
        </w:rPr>
        <w:tab/>
      </w:r>
      <w:r w:rsidRPr="00B1478B">
        <w:rPr>
          <w:sz w:val="23"/>
          <w:szCs w:val="23"/>
        </w:rPr>
        <w:tab/>
      </w:r>
      <w:r w:rsidRPr="00B1478B">
        <w:rPr>
          <w:sz w:val="23"/>
          <w:szCs w:val="23"/>
        </w:rPr>
        <w:tab/>
      </w:r>
      <w:r w:rsidRPr="00B1478B">
        <w:rPr>
          <w:sz w:val="23"/>
          <w:szCs w:val="23"/>
        </w:rPr>
        <w:tab/>
        <w:t>Matteo Abbondanza</w:t>
      </w:r>
      <w:r w:rsidRPr="00B1478B">
        <w:rPr>
          <w:sz w:val="23"/>
          <w:szCs w:val="23"/>
        </w:rPr>
        <w:tab/>
      </w:r>
    </w:p>
    <w:p w:rsidR="00F7411C" w:rsidRPr="00B1478B" w:rsidRDefault="001033D9" w:rsidP="00F7411C">
      <w:pPr>
        <w:spacing w:line="260" w:lineRule="exact"/>
        <w:jc w:val="both"/>
        <w:rPr>
          <w:sz w:val="23"/>
          <w:szCs w:val="23"/>
        </w:rPr>
      </w:pPr>
      <w:hyperlink r:id="rId10" w:history="1">
        <w:r w:rsidR="00F7411C" w:rsidRPr="00B1478B">
          <w:rPr>
            <w:sz w:val="23"/>
            <w:szCs w:val="23"/>
          </w:rPr>
          <w:t>daniele.desanctis@nexi.it</w:t>
        </w:r>
      </w:hyperlink>
      <w:r w:rsidR="00F7411C" w:rsidRPr="00B1478B">
        <w:rPr>
          <w:sz w:val="23"/>
          <w:szCs w:val="23"/>
        </w:rPr>
        <w:tab/>
      </w:r>
      <w:r w:rsidR="00F7411C" w:rsidRPr="00B1478B">
        <w:rPr>
          <w:sz w:val="23"/>
          <w:szCs w:val="23"/>
        </w:rPr>
        <w:tab/>
      </w:r>
      <w:r w:rsidR="00F7411C" w:rsidRPr="00B1478B">
        <w:rPr>
          <w:sz w:val="23"/>
          <w:szCs w:val="23"/>
        </w:rPr>
        <w:tab/>
      </w:r>
      <w:r w:rsidR="00F7411C" w:rsidRPr="00B1478B">
        <w:rPr>
          <w:sz w:val="23"/>
          <w:szCs w:val="23"/>
        </w:rPr>
        <w:tab/>
      </w:r>
      <w:r w:rsidR="00F7411C" w:rsidRPr="00B1478B">
        <w:rPr>
          <w:sz w:val="23"/>
          <w:szCs w:val="23"/>
        </w:rPr>
        <w:tab/>
        <w:t>matteo.abbondanza@nexi.it</w:t>
      </w:r>
    </w:p>
    <w:p w:rsidR="00F7411C" w:rsidRPr="00B1478B" w:rsidRDefault="00F7411C" w:rsidP="00F7411C">
      <w:pPr>
        <w:spacing w:line="260" w:lineRule="exact"/>
        <w:jc w:val="both"/>
        <w:rPr>
          <w:sz w:val="23"/>
          <w:szCs w:val="23"/>
        </w:rPr>
      </w:pPr>
      <w:r w:rsidRPr="00B1478B">
        <w:rPr>
          <w:sz w:val="23"/>
          <w:szCs w:val="23"/>
        </w:rPr>
        <w:t>346.015.1000</w:t>
      </w:r>
      <w:r w:rsidRPr="00B1478B">
        <w:rPr>
          <w:sz w:val="23"/>
          <w:szCs w:val="23"/>
        </w:rPr>
        <w:tab/>
      </w:r>
      <w:r w:rsidRPr="00B1478B">
        <w:rPr>
          <w:sz w:val="23"/>
          <w:szCs w:val="23"/>
        </w:rPr>
        <w:tab/>
      </w:r>
      <w:r w:rsidRPr="00B1478B">
        <w:rPr>
          <w:sz w:val="23"/>
          <w:szCs w:val="23"/>
        </w:rPr>
        <w:tab/>
      </w:r>
      <w:r w:rsidRPr="00B1478B">
        <w:rPr>
          <w:sz w:val="23"/>
          <w:szCs w:val="23"/>
        </w:rPr>
        <w:tab/>
      </w:r>
      <w:r w:rsidRPr="00B1478B">
        <w:rPr>
          <w:sz w:val="23"/>
          <w:szCs w:val="23"/>
        </w:rPr>
        <w:tab/>
      </w:r>
      <w:r w:rsidRPr="00B1478B">
        <w:rPr>
          <w:sz w:val="23"/>
          <w:szCs w:val="23"/>
        </w:rPr>
        <w:tab/>
      </w:r>
      <w:r w:rsidRPr="00B1478B">
        <w:rPr>
          <w:sz w:val="23"/>
          <w:szCs w:val="23"/>
        </w:rPr>
        <w:tab/>
        <w:t>348.4068.858</w:t>
      </w:r>
    </w:p>
    <w:p w:rsidR="00F7411C" w:rsidRPr="00B1478B" w:rsidRDefault="00F7411C" w:rsidP="00F7411C">
      <w:pPr>
        <w:spacing w:line="260" w:lineRule="exact"/>
        <w:jc w:val="both"/>
        <w:rPr>
          <w:sz w:val="23"/>
          <w:szCs w:val="23"/>
        </w:rPr>
      </w:pPr>
      <w:r w:rsidRPr="00B1478B">
        <w:rPr>
          <w:sz w:val="23"/>
          <w:szCs w:val="23"/>
        </w:rPr>
        <w:t>02.3488.4491</w:t>
      </w:r>
      <w:r w:rsidRPr="00B1478B">
        <w:rPr>
          <w:sz w:val="23"/>
          <w:szCs w:val="23"/>
        </w:rPr>
        <w:tab/>
      </w:r>
      <w:r w:rsidRPr="00B1478B">
        <w:rPr>
          <w:sz w:val="23"/>
          <w:szCs w:val="23"/>
        </w:rPr>
        <w:tab/>
      </w:r>
      <w:r w:rsidRPr="00B1478B">
        <w:rPr>
          <w:sz w:val="23"/>
          <w:szCs w:val="23"/>
        </w:rPr>
        <w:tab/>
      </w:r>
      <w:r w:rsidRPr="00B1478B">
        <w:rPr>
          <w:sz w:val="23"/>
          <w:szCs w:val="23"/>
        </w:rPr>
        <w:tab/>
      </w:r>
      <w:r w:rsidRPr="00B1478B">
        <w:rPr>
          <w:sz w:val="23"/>
          <w:szCs w:val="23"/>
        </w:rPr>
        <w:tab/>
      </w:r>
      <w:r w:rsidRPr="00B1478B">
        <w:rPr>
          <w:sz w:val="23"/>
          <w:szCs w:val="23"/>
        </w:rPr>
        <w:tab/>
      </w:r>
      <w:r w:rsidRPr="00B1478B">
        <w:rPr>
          <w:sz w:val="23"/>
          <w:szCs w:val="23"/>
        </w:rPr>
        <w:tab/>
        <w:t>02.3488.2202</w:t>
      </w:r>
    </w:p>
    <w:p w:rsidR="00F7411C" w:rsidRPr="00B1478B" w:rsidRDefault="001033D9" w:rsidP="00F7411C">
      <w:pPr>
        <w:spacing w:line="260" w:lineRule="exact"/>
        <w:jc w:val="both"/>
        <w:rPr>
          <w:sz w:val="23"/>
          <w:szCs w:val="23"/>
        </w:rPr>
      </w:pPr>
      <w:hyperlink r:id="rId11" w:history="1">
        <w:r w:rsidR="00F7411C" w:rsidRPr="00B1478B">
          <w:rPr>
            <w:sz w:val="23"/>
            <w:szCs w:val="23"/>
          </w:rPr>
          <w:t>www.nexi.it</w:t>
        </w:r>
      </w:hyperlink>
      <w:r w:rsidR="00F7411C" w:rsidRPr="00B1478B">
        <w:rPr>
          <w:sz w:val="23"/>
          <w:szCs w:val="23"/>
        </w:rPr>
        <w:tab/>
      </w:r>
      <w:r w:rsidR="00F7411C" w:rsidRPr="00B1478B">
        <w:rPr>
          <w:sz w:val="23"/>
          <w:szCs w:val="23"/>
        </w:rPr>
        <w:tab/>
      </w:r>
      <w:r w:rsidR="00F7411C" w:rsidRPr="00B1478B">
        <w:rPr>
          <w:sz w:val="23"/>
          <w:szCs w:val="23"/>
        </w:rPr>
        <w:tab/>
      </w:r>
      <w:r w:rsidR="00F7411C" w:rsidRPr="00B1478B">
        <w:rPr>
          <w:sz w:val="23"/>
          <w:szCs w:val="23"/>
        </w:rPr>
        <w:tab/>
      </w:r>
      <w:r w:rsidR="00F7411C" w:rsidRPr="00B1478B">
        <w:rPr>
          <w:sz w:val="23"/>
          <w:szCs w:val="23"/>
        </w:rPr>
        <w:tab/>
      </w:r>
      <w:r w:rsidR="00F7411C" w:rsidRPr="00B1478B">
        <w:rPr>
          <w:sz w:val="23"/>
          <w:szCs w:val="23"/>
        </w:rPr>
        <w:tab/>
      </w:r>
      <w:r w:rsidR="00F7411C" w:rsidRPr="00B1478B">
        <w:rPr>
          <w:sz w:val="23"/>
          <w:szCs w:val="23"/>
        </w:rPr>
        <w:tab/>
        <w:t>www.nexi.it</w:t>
      </w:r>
    </w:p>
    <w:p w:rsidR="00B967AF" w:rsidRPr="00B1478B" w:rsidRDefault="00B967AF">
      <w:pPr>
        <w:rPr>
          <w:color w:val="808080"/>
        </w:rPr>
      </w:pPr>
    </w:p>
    <w:sectPr w:rsidR="00B967AF" w:rsidRPr="00B1478B">
      <w:footerReference w:type="default" r:id="rId12"/>
      <w:footerReference w:type="first" r:id="rId13"/>
      <w:pgSz w:w="11906" w:h="16838" w:code="9"/>
      <w:pgMar w:top="1417" w:right="1134" w:bottom="1134" w:left="1134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D9" w:rsidRDefault="001033D9">
      <w:r>
        <w:separator/>
      </w:r>
    </w:p>
  </w:endnote>
  <w:endnote w:type="continuationSeparator" w:id="0">
    <w:p w:rsidR="001033D9" w:rsidRDefault="0010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38" w:rsidRDefault="004128AA">
    <w:pPr>
      <w:pStyle w:val="Pidipagina"/>
      <w:jc w:val="center"/>
    </w:pPr>
    <w:r>
      <w:fldChar w:fldCharType="begin"/>
    </w:r>
    <w:r>
      <w:instrText>PAGE  \* MERGEFORMAT</w:instrText>
    </w:r>
    <w:r>
      <w:fldChar w:fldCharType="separate"/>
    </w:r>
    <w:r w:rsidR="00B1478B">
      <w:rPr>
        <w:noProof/>
      </w:rPr>
      <w:t>2</w:t>
    </w:r>
    <w:r>
      <w:fldChar w:fldCharType="end"/>
    </w:r>
  </w:p>
  <w:p w:rsidR="006D5438" w:rsidRDefault="006D54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38" w:rsidRDefault="006D5438">
    <w:pPr>
      <w:pStyle w:val="Pidipagina"/>
      <w:jc w:val="center"/>
    </w:pPr>
  </w:p>
  <w:p w:rsidR="006D5438" w:rsidRDefault="006D54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D9" w:rsidRDefault="001033D9">
      <w:r>
        <w:separator/>
      </w:r>
    </w:p>
  </w:footnote>
  <w:footnote w:type="continuationSeparator" w:id="0">
    <w:p w:rsidR="001033D9" w:rsidRDefault="0010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FE4ACFD"/>
    <w:lvl w:ilvl="0" w:tplc="6526E342">
      <w:start w:val="1"/>
      <w:numFmt w:val="upperLetter"/>
      <w:lvlText w:val="%1)"/>
      <w:lvlJc w:val="left"/>
      <w:pPr>
        <w:ind w:left="1080" w:hanging="360"/>
      </w:pPr>
    </w:lvl>
    <w:lvl w:ilvl="1" w:tplc="DAEE9172">
      <w:start w:val="1"/>
      <w:numFmt w:val="lowerLetter"/>
      <w:lvlText w:val="%2."/>
      <w:lvlJc w:val="left"/>
      <w:pPr>
        <w:ind w:left="1800" w:hanging="360"/>
      </w:pPr>
    </w:lvl>
    <w:lvl w:ilvl="2" w:tplc="6F741542">
      <w:start w:val="1"/>
      <w:numFmt w:val="lowerRoman"/>
      <w:lvlText w:val="%3."/>
      <w:lvlJc w:val="right"/>
      <w:pPr>
        <w:ind w:left="2340" w:hanging="180"/>
      </w:pPr>
    </w:lvl>
    <w:lvl w:ilvl="3" w:tplc="C3E4B57C">
      <w:start w:val="1"/>
      <w:numFmt w:val="decimal"/>
      <w:lvlText w:val="%4."/>
      <w:lvlJc w:val="left"/>
      <w:pPr>
        <w:ind w:left="3240" w:hanging="360"/>
      </w:pPr>
    </w:lvl>
    <w:lvl w:ilvl="4" w:tplc="0818EEBC">
      <w:start w:val="1"/>
      <w:numFmt w:val="lowerLetter"/>
      <w:lvlText w:val="%5."/>
      <w:lvlJc w:val="left"/>
      <w:pPr>
        <w:ind w:left="3960" w:hanging="360"/>
      </w:pPr>
    </w:lvl>
    <w:lvl w:ilvl="5" w:tplc="207691E0">
      <w:start w:val="1"/>
      <w:numFmt w:val="lowerRoman"/>
      <w:lvlText w:val="%6."/>
      <w:lvlJc w:val="right"/>
      <w:pPr>
        <w:ind w:left="4500" w:hanging="180"/>
      </w:pPr>
    </w:lvl>
    <w:lvl w:ilvl="6" w:tplc="C0923B64">
      <w:start w:val="1"/>
      <w:numFmt w:val="decimal"/>
      <w:lvlText w:val="%7."/>
      <w:lvlJc w:val="left"/>
      <w:pPr>
        <w:ind w:left="5400" w:hanging="360"/>
      </w:pPr>
    </w:lvl>
    <w:lvl w:ilvl="7" w:tplc="CAB887EE">
      <w:start w:val="1"/>
      <w:numFmt w:val="lowerLetter"/>
      <w:lvlText w:val="%8."/>
      <w:lvlJc w:val="left"/>
      <w:pPr>
        <w:ind w:left="6120" w:hanging="360"/>
      </w:pPr>
    </w:lvl>
    <w:lvl w:ilvl="8" w:tplc="25EE8B5E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000002"/>
    <w:multiLevelType w:val="hybridMultilevel"/>
    <w:tmpl w:val="7E1957A3"/>
    <w:lvl w:ilvl="0" w:tplc="FD62451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464BEB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03CBA74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9CA4DF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CECAEF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C845F22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EBEF3C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F68C098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0FE288A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3"/>
    <w:multiLevelType w:val="hybridMultilevel"/>
    <w:tmpl w:val="31C8CF02"/>
    <w:lvl w:ilvl="0" w:tplc="FB3A6D9E">
      <w:start w:val="1"/>
      <w:numFmt w:val="decimal"/>
      <w:lvlText w:val="%1."/>
      <w:lvlJc w:val="left"/>
      <w:pPr>
        <w:ind w:left="1080" w:hanging="360"/>
      </w:pPr>
    </w:lvl>
    <w:lvl w:ilvl="1" w:tplc="AF2CE03E">
      <w:start w:val="1"/>
      <w:numFmt w:val="lowerLetter"/>
      <w:lvlText w:val="%2."/>
      <w:lvlJc w:val="left"/>
      <w:pPr>
        <w:ind w:left="1800" w:hanging="360"/>
      </w:pPr>
    </w:lvl>
    <w:lvl w:ilvl="2" w:tplc="62CA4FC8">
      <w:start w:val="1"/>
      <w:numFmt w:val="lowerRoman"/>
      <w:lvlText w:val="%3."/>
      <w:lvlJc w:val="right"/>
      <w:pPr>
        <w:ind w:left="2340" w:hanging="180"/>
      </w:pPr>
    </w:lvl>
    <w:lvl w:ilvl="3" w:tplc="2DFEC754">
      <w:start w:val="1"/>
      <w:numFmt w:val="decimal"/>
      <w:lvlText w:val="%4."/>
      <w:lvlJc w:val="left"/>
      <w:pPr>
        <w:ind w:left="3240" w:hanging="360"/>
      </w:pPr>
    </w:lvl>
    <w:lvl w:ilvl="4" w:tplc="6A38571A">
      <w:start w:val="1"/>
      <w:numFmt w:val="lowerLetter"/>
      <w:lvlText w:val="%5."/>
      <w:lvlJc w:val="left"/>
      <w:pPr>
        <w:ind w:left="3960" w:hanging="360"/>
      </w:pPr>
    </w:lvl>
    <w:lvl w:ilvl="5" w:tplc="EDC40286">
      <w:start w:val="1"/>
      <w:numFmt w:val="lowerRoman"/>
      <w:lvlText w:val="%6."/>
      <w:lvlJc w:val="right"/>
      <w:pPr>
        <w:ind w:left="4500" w:hanging="180"/>
      </w:pPr>
    </w:lvl>
    <w:lvl w:ilvl="6" w:tplc="2BC807C6">
      <w:start w:val="1"/>
      <w:numFmt w:val="decimal"/>
      <w:lvlText w:val="%7."/>
      <w:lvlJc w:val="left"/>
      <w:pPr>
        <w:ind w:left="5400" w:hanging="360"/>
      </w:pPr>
    </w:lvl>
    <w:lvl w:ilvl="7" w:tplc="B13CE158">
      <w:start w:val="1"/>
      <w:numFmt w:val="lowerLetter"/>
      <w:lvlText w:val="%8."/>
      <w:lvlJc w:val="left"/>
      <w:pPr>
        <w:ind w:left="6120" w:hanging="360"/>
      </w:pPr>
    </w:lvl>
    <w:lvl w:ilvl="8" w:tplc="8812A63E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0000004"/>
    <w:multiLevelType w:val="hybridMultilevel"/>
    <w:tmpl w:val="768EA5D6"/>
    <w:lvl w:ilvl="0" w:tplc="2F588B3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C58798A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7CA7702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AC6667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8B49A1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D3E3372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758D4F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576E2A2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5FECC3A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5"/>
    <w:multiLevelType w:val="hybridMultilevel"/>
    <w:tmpl w:val="0F29C169"/>
    <w:lvl w:ilvl="0" w:tplc="EE3C0A1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4705AF6">
      <w:start w:val="1"/>
      <w:numFmt w:val="bullet"/>
      <w:lvlText w:val="°"/>
      <w:lvlJc w:val="left"/>
      <w:pPr>
        <w:ind w:left="1800" w:hanging="360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2" w:tplc="0908C4BE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1E40F1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D30BC5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0864576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B802F2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06ABDA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B425210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06"/>
    <w:multiLevelType w:val="hybridMultilevel"/>
    <w:tmpl w:val="7E58DC45"/>
    <w:lvl w:ilvl="0" w:tplc="AA445C2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1" w:tplc="A77025E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0700E54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ED2ABE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DDA795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ED2646A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46C60A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840914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D3CB454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7BE576D0"/>
    <w:lvl w:ilvl="0" w:tplc="90C09A8C">
      <w:start w:val="5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827EA92C">
      <w:start w:val="1"/>
      <w:numFmt w:val="bullet"/>
      <w:lvlText w:val="o"/>
      <w:lvlJc w:val="left"/>
      <w:pPr>
        <w:ind w:left="230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A4C4130">
      <w:start w:val="1"/>
      <w:numFmt w:val="bullet"/>
      <w:lvlText w:val="§"/>
      <w:lvlJc w:val="left"/>
      <w:pPr>
        <w:ind w:left="302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D84413E">
      <w:start w:val="1"/>
      <w:numFmt w:val="bullet"/>
      <w:lvlText w:val="·"/>
      <w:lvlJc w:val="left"/>
      <w:pPr>
        <w:ind w:left="374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AE0F118">
      <w:start w:val="1"/>
      <w:numFmt w:val="bullet"/>
      <w:lvlText w:val="o"/>
      <w:lvlJc w:val="left"/>
      <w:pPr>
        <w:ind w:left="446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B5C7E60">
      <w:start w:val="1"/>
      <w:numFmt w:val="bullet"/>
      <w:lvlText w:val="§"/>
      <w:lvlJc w:val="left"/>
      <w:pPr>
        <w:ind w:left="518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01261C8">
      <w:start w:val="1"/>
      <w:numFmt w:val="bullet"/>
      <w:lvlText w:val="·"/>
      <w:lvlJc w:val="left"/>
      <w:pPr>
        <w:ind w:left="590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1503944">
      <w:start w:val="1"/>
      <w:numFmt w:val="bullet"/>
      <w:lvlText w:val="o"/>
      <w:lvlJc w:val="left"/>
      <w:pPr>
        <w:ind w:left="662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87EA8B6">
      <w:start w:val="1"/>
      <w:numFmt w:val="bullet"/>
      <w:lvlText w:val="§"/>
      <w:lvlJc w:val="left"/>
      <w:pPr>
        <w:ind w:left="734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0000008"/>
    <w:multiLevelType w:val="hybridMultilevel"/>
    <w:tmpl w:val="15DB913C"/>
    <w:lvl w:ilvl="0" w:tplc="C95A0B6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1" w:tplc="70E8F9C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C80DA60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682D4A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8647AC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78CED04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4F86E0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26E20C2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FF2052A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00000009"/>
    <w:multiLevelType w:val="hybridMultilevel"/>
    <w:tmpl w:val="021C055A"/>
    <w:lvl w:ilvl="0" w:tplc="9CD8984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C9E64AA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1FCBF48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CB0467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6C6CEA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C78D152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EAC2BA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5FE510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99640AA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 w15:restartNumberingAfterBreak="0">
    <w:nsid w:val="0000000A"/>
    <w:multiLevelType w:val="hybridMultilevel"/>
    <w:tmpl w:val="7DA358CA"/>
    <w:lvl w:ilvl="0" w:tplc="0C429D5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1" w:tplc="AC0CE84E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86EE7F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7A20F0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480C85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2E82B2A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AF25B4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43098A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61AAA02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 w15:restartNumberingAfterBreak="0">
    <w:nsid w:val="0000000B"/>
    <w:multiLevelType w:val="hybridMultilevel"/>
    <w:tmpl w:val="6F1A7636"/>
    <w:lvl w:ilvl="0" w:tplc="2842C07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1" w:tplc="68BEA25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0DE5650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FA0267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6C8BAD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7A21B5A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13C292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6EA66A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B329A9A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 w15:restartNumberingAfterBreak="0">
    <w:nsid w:val="0000000C"/>
    <w:multiLevelType w:val="hybridMultilevel"/>
    <w:tmpl w:val="32470C36"/>
    <w:lvl w:ilvl="0" w:tplc="B3B6029C">
      <w:numFmt w:val="bullet"/>
      <w:lvlText w:val="-"/>
      <w:lvlJc w:val="left"/>
      <w:pPr>
        <w:ind w:left="1080" w:hanging="360"/>
      </w:pPr>
      <w:rPr>
        <w:rFonts w:ascii="Arial" w:eastAsia="Times New Roman" w:hAnsi="Arial"/>
        <w:w w:val="100"/>
        <w:sz w:val="20"/>
        <w:szCs w:val="20"/>
        <w:shd w:val="clear" w:color="auto" w:fill="auto"/>
      </w:rPr>
    </w:lvl>
    <w:lvl w:ilvl="1" w:tplc="6AE43EA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9824472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F424FA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B06E0C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8A46E9E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4FE6B8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DFAED5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0148B04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 w15:restartNumberingAfterBreak="0">
    <w:nsid w:val="0000000D"/>
    <w:multiLevelType w:val="hybridMultilevel"/>
    <w:tmpl w:val="5672C703"/>
    <w:lvl w:ilvl="0" w:tplc="073009E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F787A78">
      <w:numFmt w:val="bullet"/>
      <w:lvlText w:val="-"/>
      <w:lvlJc w:val="left"/>
      <w:pPr>
        <w:ind w:left="1968" w:hanging="444"/>
      </w:pPr>
      <w:rPr>
        <w:rFonts w:ascii="Arial" w:eastAsia="Times New Roman" w:hAnsi="Arial"/>
        <w:w w:val="100"/>
        <w:sz w:val="20"/>
        <w:szCs w:val="20"/>
        <w:shd w:val="clear" w:color="auto" w:fill="auto"/>
      </w:rPr>
    </w:lvl>
    <w:lvl w:ilvl="2" w:tplc="AD7E281C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3B4F37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CC47AD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BA6B39E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5D60C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F10880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45E8050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 w15:restartNumberingAfterBreak="0">
    <w:nsid w:val="0000000E"/>
    <w:multiLevelType w:val="hybridMultilevel"/>
    <w:tmpl w:val="0967C24C"/>
    <w:lvl w:ilvl="0" w:tplc="FB987EF6">
      <w:start w:val="1"/>
      <w:numFmt w:val="bullet"/>
      <w:lvlText w:val="·"/>
      <w:lvlJc w:val="left"/>
      <w:pPr>
        <w:ind w:left="3981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0B0AC72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CC23DB4">
      <w:start w:val="1"/>
      <w:numFmt w:val="bullet"/>
      <w:lvlText w:val="§"/>
      <w:lvlJc w:val="left"/>
      <w:pPr>
        <w:ind w:left="294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290A074">
      <w:start w:val="1"/>
      <w:numFmt w:val="bullet"/>
      <w:lvlText w:val="·"/>
      <w:lvlJc w:val="left"/>
      <w:pPr>
        <w:ind w:left="366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7BAACFC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A1A9ED2">
      <w:start w:val="1"/>
      <w:numFmt w:val="bullet"/>
      <w:lvlText w:val="§"/>
      <w:lvlJc w:val="left"/>
      <w:pPr>
        <w:ind w:left="510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C408D2A">
      <w:start w:val="1"/>
      <w:numFmt w:val="bullet"/>
      <w:lvlText w:val="·"/>
      <w:lvlJc w:val="left"/>
      <w:pPr>
        <w:ind w:left="582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F28782A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0E68E6C">
      <w:start w:val="1"/>
      <w:numFmt w:val="bullet"/>
      <w:lvlText w:val="§"/>
      <w:lvlJc w:val="left"/>
      <w:pPr>
        <w:ind w:left="726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 w15:restartNumberingAfterBreak="0">
    <w:nsid w:val="0000000F"/>
    <w:multiLevelType w:val="hybridMultilevel"/>
    <w:tmpl w:val="7B051066"/>
    <w:lvl w:ilvl="0" w:tplc="DEC82308">
      <w:start w:val="1"/>
      <w:numFmt w:val="bullet"/>
      <w:lvlText w:val="ü"/>
      <w:lvlJc w:val="left"/>
      <w:pPr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E681EF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BE0247A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6A404D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B3AFBB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43EBDB0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8C2512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21C69C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BB2A722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 w15:restartNumberingAfterBreak="0">
    <w:nsid w:val="00000010"/>
    <w:multiLevelType w:val="hybridMultilevel"/>
    <w:tmpl w:val="0977D7A3"/>
    <w:lvl w:ilvl="0" w:tplc="F8707526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/>
        <w:w w:val="100"/>
        <w:sz w:val="20"/>
        <w:szCs w:val="20"/>
        <w:shd w:val="clear" w:color="auto" w:fill="auto"/>
      </w:rPr>
    </w:lvl>
    <w:lvl w:ilvl="1" w:tplc="D65E66A8">
      <w:start w:val="1"/>
      <w:numFmt w:val="lowerLetter"/>
      <w:lvlText w:val="%2."/>
      <w:lvlJc w:val="left"/>
      <w:pPr>
        <w:ind w:left="1800" w:hanging="360"/>
      </w:pPr>
    </w:lvl>
    <w:lvl w:ilvl="2" w:tplc="C6903E34">
      <w:start w:val="1"/>
      <w:numFmt w:val="lowerRoman"/>
      <w:lvlText w:val="%3."/>
      <w:lvlJc w:val="right"/>
      <w:pPr>
        <w:ind w:left="2340" w:hanging="180"/>
      </w:pPr>
    </w:lvl>
    <w:lvl w:ilvl="3" w:tplc="C7C43588">
      <w:start w:val="1"/>
      <w:numFmt w:val="decimal"/>
      <w:lvlText w:val="%4."/>
      <w:lvlJc w:val="left"/>
      <w:pPr>
        <w:ind w:left="3240" w:hanging="360"/>
      </w:pPr>
    </w:lvl>
    <w:lvl w:ilvl="4" w:tplc="E94243A6">
      <w:start w:val="1"/>
      <w:numFmt w:val="lowerLetter"/>
      <w:lvlText w:val="%5."/>
      <w:lvlJc w:val="left"/>
      <w:pPr>
        <w:ind w:left="3960" w:hanging="360"/>
      </w:pPr>
    </w:lvl>
    <w:lvl w:ilvl="5" w:tplc="9B2C8060">
      <w:start w:val="1"/>
      <w:numFmt w:val="lowerRoman"/>
      <w:lvlText w:val="%6."/>
      <w:lvlJc w:val="right"/>
      <w:pPr>
        <w:ind w:left="4500" w:hanging="180"/>
      </w:pPr>
    </w:lvl>
    <w:lvl w:ilvl="6" w:tplc="8BF243F8">
      <w:start w:val="1"/>
      <w:numFmt w:val="decimal"/>
      <w:lvlText w:val="%7."/>
      <w:lvlJc w:val="left"/>
      <w:pPr>
        <w:ind w:left="5400" w:hanging="360"/>
      </w:pPr>
    </w:lvl>
    <w:lvl w:ilvl="7" w:tplc="FE825232">
      <w:start w:val="1"/>
      <w:numFmt w:val="lowerLetter"/>
      <w:lvlText w:val="%8."/>
      <w:lvlJc w:val="left"/>
      <w:pPr>
        <w:ind w:left="6120" w:hanging="360"/>
      </w:pPr>
    </w:lvl>
    <w:lvl w:ilvl="8" w:tplc="D90C55A2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00000011"/>
    <w:multiLevelType w:val="hybridMultilevel"/>
    <w:tmpl w:val="1AEE1330"/>
    <w:lvl w:ilvl="0" w:tplc="0D14244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1" w:tplc="F6281F0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5E6C730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01EB60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350CAE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FE22F8A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C32D9C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6221F82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A72C72C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 w15:restartNumberingAfterBreak="0">
    <w:nsid w:val="247A0AFB"/>
    <w:multiLevelType w:val="hybridMultilevel"/>
    <w:tmpl w:val="4079DA34"/>
    <w:lvl w:ilvl="0" w:tplc="680C089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0E668E6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2" w:tplc="BD561132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780065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83BAED5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A8AF3E2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F287E1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5882C8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E94FB82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17"/>
  </w:num>
  <w:num w:numId="12">
    <w:abstractNumId w:val="3"/>
  </w:num>
  <w:num w:numId="13">
    <w:abstractNumId w:val="11"/>
  </w:num>
  <w:num w:numId="14">
    <w:abstractNumId w:val="10"/>
  </w:num>
  <w:num w:numId="15">
    <w:abstractNumId w:val="5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38"/>
    <w:rsid w:val="00040792"/>
    <w:rsid w:val="000879EA"/>
    <w:rsid w:val="000B1EA4"/>
    <w:rsid w:val="000E6567"/>
    <w:rsid w:val="001033D9"/>
    <w:rsid w:val="00225C35"/>
    <w:rsid w:val="00240A06"/>
    <w:rsid w:val="002C45E2"/>
    <w:rsid w:val="003369C5"/>
    <w:rsid w:val="003A762E"/>
    <w:rsid w:val="003E6BDD"/>
    <w:rsid w:val="004128AA"/>
    <w:rsid w:val="0055337E"/>
    <w:rsid w:val="005A4648"/>
    <w:rsid w:val="006D5438"/>
    <w:rsid w:val="0079613D"/>
    <w:rsid w:val="0085068A"/>
    <w:rsid w:val="008A6D66"/>
    <w:rsid w:val="0091373C"/>
    <w:rsid w:val="009856AF"/>
    <w:rsid w:val="009E5CB7"/>
    <w:rsid w:val="00B1478B"/>
    <w:rsid w:val="00B20B31"/>
    <w:rsid w:val="00B83DCC"/>
    <w:rsid w:val="00B967AF"/>
    <w:rsid w:val="00BE20FD"/>
    <w:rsid w:val="00C12B8D"/>
    <w:rsid w:val="00C21D54"/>
    <w:rsid w:val="00C76C20"/>
    <w:rsid w:val="00CA29FE"/>
    <w:rsid w:val="00D00397"/>
    <w:rsid w:val="00D27654"/>
    <w:rsid w:val="00DD4D1E"/>
    <w:rsid w:val="00E53A56"/>
    <w:rsid w:val="00F7411C"/>
    <w:rsid w:val="00FA0287"/>
    <w:rsid w:val="00FF017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22B90A-3785-44FB-AE56-9B5CDA5F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7"/>
    <w:qFormat/>
    <w:pPr>
      <w:keepNext/>
      <w:jc w:val="both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outlineLvl w:val="2"/>
    </w:pPr>
    <w:rPr>
      <w:rFonts w:ascii="Cambria" w:eastAsia="Cambria" w:hAnsi="Cambria"/>
      <w:b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11"/>
    <w:semiHidden/>
    <w:unhideWhenUsed/>
    <w:qFormat/>
    <w:pPr>
      <w:outlineLvl w:val="4"/>
    </w:pPr>
    <w:rPr>
      <w:rFonts w:ascii="Calibri" w:eastAsia="Calibri" w:hAnsi="Calibri"/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26"/>
    <w:qFormat/>
    <w:pPr>
      <w:ind w:left="720"/>
    </w:pPr>
    <w:rPr>
      <w:sz w:val="24"/>
      <w:szCs w:val="24"/>
    </w:rPr>
  </w:style>
  <w:style w:type="table" w:styleId="Grigliatabella">
    <w:name w:val="Table Grid"/>
    <w:basedOn w:val="Tabellanormale"/>
    <w:uiPriority w:val="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Pr>
      <w:rFonts w:ascii="Times New Roman" w:eastAsia="Times New Roman" w:hAnsi="Times New Roman"/>
      <w:b/>
      <w:w w:val="100"/>
      <w:sz w:val="20"/>
      <w:szCs w:val="20"/>
      <w:shd w:val="clear" w:color="auto" w:fill="auto"/>
    </w:rPr>
  </w:style>
  <w:style w:type="paragraph" w:customStyle="1" w:styleId="liv1">
    <w:name w:val="liv1"/>
    <w:basedOn w:val="Normale"/>
    <w:link w:val="liv1Carattere"/>
    <w:pPr>
      <w:tabs>
        <w:tab w:val="left" w:pos="431"/>
        <w:tab w:val="left" w:pos="862"/>
        <w:tab w:val="left" w:pos="1298"/>
        <w:tab w:val="right" w:pos="9072"/>
      </w:tabs>
      <w:ind w:left="850" w:hanging="425"/>
      <w:jc w:val="both"/>
    </w:pPr>
    <w:rPr>
      <w:rFonts w:ascii="Arial" w:eastAsia="Arial" w:hAnsi="Arial"/>
    </w:rPr>
  </w:style>
  <w:style w:type="character" w:customStyle="1" w:styleId="liv1Carattere">
    <w:name w:val="liv1 Carattere"/>
    <w:link w:val="liv1"/>
    <w:rPr>
      <w:rFonts w:ascii="Arial" w:eastAsia="Times New Roman" w:hAnsi="Arial"/>
      <w:w w:val="100"/>
      <w:sz w:val="20"/>
      <w:szCs w:val="20"/>
      <w:shd w:val="clear" w:color="auto" w:fill="auto"/>
    </w:rPr>
  </w:style>
  <w:style w:type="character" w:customStyle="1" w:styleId="liv2Carattere">
    <w:name w:val="liv2 Carattere"/>
    <w:link w:val="liv2"/>
    <w:rPr>
      <w:rFonts w:ascii="Arial" w:eastAsia="Arial" w:hAnsi="Arial"/>
      <w:w w:val="100"/>
      <w:sz w:val="22"/>
      <w:szCs w:val="22"/>
      <w:shd w:val="clear" w:color="auto" w:fill="auto"/>
    </w:rPr>
  </w:style>
  <w:style w:type="paragraph" w:customStyle="1" w:styleId="liv2">
    <w:name w:val="liv2"/>
    <w:basedOn w:val="liv1"/>
    <w:link w:val="liv2Caratter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9072"/>
      </w:tabs>
      <w:ind w:left="1440" w:hanging="720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pPr>
      <w:jc w:val="both"/>
    </w:pPr>
    <w:rPr>
      <w:color w:val="0000FF"/>
      <w:sz w:val="24"/>
      <w:szCs w:val="24"/>
      <w:u w:val="single"/>
    </w:rPr>
  </w:style>
  <w:style w:type="character" w:customStyle="1" w:styleId="Corpodeltesto2Carattere">
    <w:name w:val="Corpo del testo 2 Carattere"/>
    <w:link w:val="Corpodeltesto2"/>
    <w:rPr>
      <w:rFonts w:ascii="Times New Roman" w:eastAsia="Times New Roman" w:hAnsi="Times New Roman"/>
      <w:color w:val="0000FF"/>
      <w:w w:val="100"/>
      <w:sz w:val="24"/>
      <w:szCs w:val="24"/>
      <w:u w:val="single"/>
      <w:shd w:val="clear" w:color="auto" w:fill="auto"/>
    </w:rPr>
  </w:style>
  <w:style w:type="paragraph" w:customStyle="1" w:styleId="Body1">
    <w:name w:val="Body 1"/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Default">
    <w:name w:val="Default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Pr>
      <w:rFonts w:ascii="Tahoma" w:eastAsia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Rientrocorpodeltesto3">
    <w:name w:val="Body Text Indent 3"/>
    <w:basedOn w:val="Normale"/>
    <w:link w:val="Rientrocorpodeltesto3Carattere"/>
    <w:semiHidden/>
    <w:unhideWhenUsed/>
    <w:pPr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rPr>
      <w:rFonts w:ascii="Times New Roman" w:eastAsia="Times New Roman" w:hAnsi="Times New Roman"/>
      <w:w w:val="100"/>
      <w:sz w:val="16"/>
      <w:szCs w:val="16"/>
      <w:shd w:val="clear" w:color="auto" w:fill="auto"/>
    </w:rPr>
  </w:style>
  <w:style w:type="paragraph" w:styleId="Corpodeltesto3">
    <w:name w:val="Body Text 3"/>
    <w:basedOn w:val="Normale"/>
    <w:link w:val="Corpodeltesto3Carattere"/>
    <w:semiHidden/>
    <w:unhideWhenUsed/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Pr>
      <w:rFonts w:ascii="Times New Roman" w:eastAsia="Times New Roman" w:hAnsi="Times New Roman"/>
      <w:w w:val="100"/>
      <w:sz w:val="16"/>
      <w:szCs w:val="16"/>
      <w:shd w:val="clear" w:color="auto" w:fill="auto"/>
    </w:rPr>
  </w:style>
  <w:style w:type="paragraph" w:styleId="Testonotaapidipagina">
    <w:name w:val="footnote text"/>
    <w:basedOn w:val="Normale"/>
    <w:link w:val="TestonotaapidipaginaCarattere"/>
  </w:style>
  <w:style w:type="character" w:customStyle="1" w:styleId="TestonotaapidipaginaCarattere">
    <w:name w:val="Testo nota a piè di pagina Carattere"/>
    <w:link w:val="Testonotaapidipagina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styleId="Rimandonotaapidipagina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Titolo3Carattere">
    <w:name w:val="Titolo 3 Carattere"/>
    <w:link w:val="Titolo3"/>
    <w:semiHidden/>
    <w:rPr>
      <w:rFonts w:ascii="Cambria" w:eastAsia="Times New Roman" w:hAnsi="Cambria"/>
      <w:b/>
      <w:w w:val="100"/>
      <w:sz w:val="26"/>
      <w:szCs w:val="26"/>
      <w:shd w:val="clear" w:color="auto" w:fill="auto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styleId="Collegamentoipertestuale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Titolo5Carattere">
    <w:name w:val="Titolo 5 Carattere"/>
    <w:link w:val="Titolo5"/>
    <w:semiHidden/>
    <w:rPr>
      <w:rFonts w:ascii="Calibri" w:eastAsia="Times New Roman" w:hAnsi="Calibri"/>
      <w:b/>
      <w:i/>
      <w:w w:val="100"/>
      <w:sz w:val="26"/>
      <w:szCs w:val="26"/>
      <w:shd w:val="clear" w:color="auto" w:fill="auto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NormaleWeb">
    <w:name w:val="Normal (Web)"/>
    <w:basedOn w:val="Normale"/>
    <w:unhideWhenUsed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</w:style>
  <w:style w:type="character" w:customStyle="1" w:styleId="CorpotestoCarattere">
    <w:name w:val="Corpo testo Carattere"/>
    <w:link w:val="Corpotesto"/>
    <w:semiHidden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Testodelblocco">
    <w:name w:val="Block Text"/>
    <w:basedOn w:val="Normale"/>
    <w:link w:val="TestodelbloccoCarattere"/>
    <w:qFormat/>
    <w:rPr>
      <w:rFonts w:ascii="Arial" w:eastAsia="SimSun" w:hAnsi="Arial"/>
      <w:sz w:val="24"/>
      <w:szCs w:val="24"/>
    </w:rPr>
  </w:style>
  <w:style w:type="character" w:customStyle="1" w:styleId="TestodelbloccoCarattere">
    <w:name w:val="Testo del blocco Carattere"/>
    <w:link w:val="Testodelblocco"/>
    <w:rPr>
      <w:rFonts w:ascii="Times New Roman" w:eastAsia="SimSun" w:hAnsi="Times New Roman"/>
      <w:w w:val="100"/>
      <w:sz w:val="24"/>
      <w:szCs w:val="24"/>
      <w:shd w:val="clear" w:color="auto" w:fill="auto"/>
    </w:rPr>
  </w:style>
  <w:style w:type="table" w:styleId="Sfondochiaro-Colore1">
    <w:name w:val="Light Shading Accent 1"/>
    <w:basedOn w:val="Tabellanormale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3DFEE"/>
      </w:tcPr>
    </w:tblStylePr>
    <w:tblStylePr w:type="band1Horz">
      <w:tblPr/>
      <w:tcPr>
        <w:shd w:val="clear" w:color="000000" w:fill="D3DFEE"/>
      </w:tcPr>
    </w:tblStylePr>
  </w:style>
  <w:style w:type="table" w:styleId="Sfondochiaro">
    <w:name w:val="Light Shading"/>
    <w:basedOn w:val="Tabellanormal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lastRow">
      <w:pPr>
        <w:ind w:left="0" w:firstLine="0"/>
      </w:pPr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0C0C0"/>
      </w:tcPr>
    </w:tblStylePr>
    <w:tblStylePr w:type="band1Horz">
      <w:tblPr/>
      <w:tcPr>
        <w:shd w:val="clear" w:color="000000" w:fill="C0C0C0"/>
      </w:tcPr>
    </w:tblStylePr>
  </w:style>
  <w:style w:type="paragraph" w:styleId="Revisione">
    <w:name w:val="Revision"/>
    <w:semiHidden/>
    <w:rPr>
      <w:rFonts w:ascii="Times New Roman" w:hAnsi="Times New Roman"/>
    </w:rPr>
  </w:style>
  <w:style w:type="character" w:styleId="Rimandocommento">
    <w:name w:val="annotation reference"/>
    <w:basedOn w:val="Carpredefinitoparagrafo"/>
    <w:semiHidden/>
    <w:unhideWhenUsed/>
    <w:rPr>
      <w:w w:val="100"/>
      <w:sz w:val="16"/>
      <w:szCs w:val="16"/>
      <w:shd w:val="clear" w:color="auto" w:fill="auto"/>
    </w:rPr>
  </w:style>
  <w:style w:type="paragraph" w:styleId="Testocommento">
    <w:name w:val="annotation text"/>
    <w:basedOn w:val="Normale"/>
    <w:link w:val="TestocommentoCarattere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semiHidden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rFonts w:ascii="Times New Roman" w:eastAsia="Times New Roman" w:hAnsi="Times New Roman"/>
      <w:b/>
      <w:w w:val="100"/>
      <w:sz w:val="20"/>
      <w:szCs w:val="20"/>
      <w:shd w:val="clear" w:color="auto" w:fill="auto"/>
    </w:rPr>
  </w:style>
  <w:style w:type="character" w:customStyle="1" w:styleId="Nessuno">
    <w:name w:val="Nessuno"/>
    <w:rsid w:val="00F7411C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x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niele.desanctis@nex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azioni.esterne@carig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Gruppo CARIGE</Company>
  <LinksUpToDate>false</LinksUpToDate>
  <CharactersWithSpaces>3085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Gruppo CARIGE</dc:creator>
  <cp:lastModifiedBy>Abbondanza Matteo</cp:lastModifiedBy>
  <cp:revision>8</cp:revision>
  <dcterms:created xsi:type="dcterms:W3CDTF">2018-04-03T15:19:00Z</dcterms:created>
  <dcterms:modified xsi:type="dcterms:W3CDTF">2018-04-03T15:57:00Z</dcterms:modified>
</cp:coreProperties>
</file>