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9F" w:rsidRPr="007D6EE6" w:rsidRDefault="000A6F97" w:rsidP="00D2387E">
      <w:pPr>
        <w:spacing w:line="360" w:lineRule="auto"/>
        <w:jc w:val="center"/>
        <w:rPr>
          <w:rStyle w:val="Nessuno"/>
          <w:rFonts w:ascii="Calibri" w:hAnsi="Calibri"/>
          <w:b/>
          <w:color w:val="75787B"/>
          <w:spacing w:val="-1"/>
          <w:sz w:val="28"/>
          <w:szCs w:val="28"/>
          <w:u w:color="75787B"/>
        </w:rPr>
      </w:pP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val="single" w:color="75787B"/>
        </w:rPr>
        <w:t>Comunicato stampa</w:t>
      </w: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val="single" w:color="75787B"/>
        </w:rPr>
        <w:br/>
      </w:r>
      <w:r w:rsidR="00EE279F" w:rsidRPr="00B74248">
        <w:rPr>
          <w:rStyle w:val="Nessuno"/>
          <w:rFonts w:ascii="Calibri" w:hAnsi="Calibri"/>
          <w:b/>
          <w:color w:val="75787B"/>
          <w:spacing w:val="-1"/>
          <w:sz w:val="28"/>
          <w:szCs w:val="28"/>
          <w:u w:color="75787B"/>
        </w:rPr>
        <w:t>Nexi</w:t>
      </w:r>
      <w:r w:rsidR="00DE5F77">
        <w:rPr>
          <w:rStyle w:val="Nessuno"/>
          <w:rFonts w:ascii="Calibri" w:hAnsi="Calibri"/>
          <w:b/>
          <w:color w:val="75787B"/>
          <w:spacing w:val="-1"/>
          <w:sz w:val="28"/>
          <w:szCs w:val="28"/>
          <w:u w:color="75787B"/>
        </w:rPr>
        <w:t>:</w:t>
      </w:r>
      <w:r w:rsidR="007D6EE6" w:rsidRPr="00B74248">
        <w:rPr>
          <w:rStyle w:val="Nessuno"/>
          <w:rFonts w:ascii="Calibri" w:hAnsi="Calibri"/>
          <w:b/>
          <w:color w:val="75787B"/>
          <w:spacing w:val="-1"/>
          <w:sz w:val="28"/>
          <w:szCs w:val="28"/>
          <w:u w:color="75787B"/>
        </w:rPr>
        <w:t xml:space="preserve"> </w:t>
      </w:r>
      <w:r w:rsidR="00954576">
        <w:rPr>
          <w:rStyle w:val="Nessuno"/>
          <w:rFonts w:ascii="Calibri" w:hAnsi="Calibri"/>
          <w:b/>
          <w:color w:val="75787B"/>
          <w:spacing w:val="-1"/>
          <w:sz w:val="28"/>
          <w:szCs w:val="28"/>
          <w:u w:color="75787B"/>
        </w:rPr>
        <w:t>completa</w:t>
      </w:r>
      <w:r w:rsidR="00DE5F77">
        <w:rPr>
          <w:rStyle w:val="Nessuno"/>
          <w:rFonts w:ascii="Calibri" w:hAnsi="Calibri"/>
          <w:b/>
          <w:color w:val="75787B"/>
          <w:spacing w:val="-1"/>
          <w:sz w:val="28"/>
          <w:szCs w:val="28"/>
          <w:u w:color="75787B"/>
        </w:rPr>
        <w:t>ta</w:t>
      </w:r>
      <w:r w:rsidR="00954576">
        <w:rPr>
          <w:rStyle w:val="Nessuno"/>
          <w:rFonts w:ascii="Calibri" w:hAnsi="Calibri"/>
          <w:b/>
          <w:color w:val="75787B"/>
          <w:spacing w:val="-1"/>
          <w:sz w:val="28"/>
          <w:szCs w:val="28"/>
          <w:u w:color="75787B"/>
        </w:rPr>
        <w:t xml:space="preserve"> la riorganizzazione societaria </w:t>
      </w:r>
    </w:p>
    <w:p w:rsidR="00EE279F" w:rsidRDefault="00CA6212" w:rsidP="007D6EE6">
      <w:pPr>
        <w:spacing w:line="240" w:lineRule="auto"/>
        <w:jc w:val="center"/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</w:pPr>
      <w:r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 xml:space="preserve">Conclusa </w:t>
      </w:r>
      <w:r w:rsidR="007D6EE6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 xml:space="preserve">la separazione </w:t>
      </w:r>
      <w:r w:rsidR="00DE5F77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>del</w:t>
      </w:r>
      <w:r w:rsidR="00B74248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 xml:space="preserve">le attività legate ai pagamenti digitali </w:t>
      </w:r>
      <w:r w:rsidR="00B74248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br/>
      </w:r>
      <w:r w:rsidR="00DE5F77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>da</w:t>
      </w:r>
      <w:r w:rsidR="00B74248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 xml:space="preserve"> quelle </w:t>
      </w:r>
      <w:r w:rsidR="007D6EE6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 xml:space="preserve">di natura </w:t>
      </w:r>
      <w:r w:rsidR="00DE5F77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 xml:space="preserve">strettamente </w:t>
      </w:r>
      <w:r w:rsidR="007D6EE6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 xml:space="preserve">bancaria </w:t>
      </w:r>
      <w:r w:rsidR="00C81B95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br/>
      </w:r>
    </w:p>
    <w:p w:rsidR="00954576" w:rsidRDefault="00954576" w:rsidP="00954576">
      <w:pPr>
        <w:spacing w:line="240" w:lineRule="auto"/>
        <w:jc w:val="center"/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</w:pPr>
      <w:r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>Nasce la nuova Paytech del</w:t>
      </w:r>
      <w:r w:rsidR="00DE5F77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>le b</w:t>
      </w:r>
      <w:r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 xml:space="preserve">anche specializzata nei </w:t>
      </w:r>
      <w:r w:rsidR="00CA6212">
        <w:rPr>
          <w:rStyle w:val="Nessuno"/>
          <w:rFonts w:ascii="Calibri" w:hAnsi="Calibri"/>
          <w:i/>
          <w:color w:val="75787B"/>
          <w:spacing w:val="-1"/>
          <w:sz w:val="24"/>
          <w:szCs w:val="24"/>
          <w:u w:color="75787B"/>
        </w:rPr>
        <w:t>digital payments</w:t>
      </w:r>
    </w:p>
    <w:p w:rsidR="00B74248" w:rsidRDefault="00B74248" w:rsidP="00D2387E">
      <w:pPr>
        <w:spacing w:line="300" w:lineRule="exact"/>
        <w:jc w:val="both"/>
        <w:rPr>
          <w:rStyle w:val="Nessuno"/>
          <w:rFonts w:ascii="Calibri" w:hAnsi="Calibri"/>
          <w:b/>
          <w:color w:val="75787B"/>
          <w:spacing w:val="-1"/>
          <w:sz w:val="24"/>
          <w:szCs w:val="24"/>
          <w:u w:color="75787B"/>
        </w:rPr>
      </w:pPr>
    </w:p>
    <w:p w:rsidR="00DE5F77" w:rsidRDefault="00EE279F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  <w:bookmarkStart w:id="0" w:name="_GoBack"/>
      <w:bookmarkEnd w:id="0"/>
      <w:r w:rsidRPr="00D2387E">
        <w:rPr>
          <w:rStyle w:val="Nessuno"/>
          <w:rFonts w:ascii="Calibri" w:hAnsi="Calibri"/>
          <w:b/>
          <w:color w:val="75787B"/>
          <w:spacing w:val="-1"/>
          <w:sz w:val="24"/>
          <w:szCs w:val="24"/>
          <w:u w:color="75787B"/>
        </w:rPr>
        <w:t xml:space="preserve">Milano, </w:t>
      </w:r>
      <w:r w:rsidR="00897D37">
        <w:rPr>
          <w:rStyle w:val="Nessuno"/>
          <w:rFonts w:ascii="Calibri" w:hAnsi="Calibri"/>
          <w:b/>
          <w:color w:val="75787B"/>
          <w:spacing w:val="-1"/>
          <w:sz w:val="24"/>
          <w:szCs w:val="24"/>
          <w:u w:color="75787B"/>
        </w:rPr>
        <w:t>3</w:t>
      </w:r>
      <w:r w:rsidR="00E74BDB" w:rsidRPr="00D2387E">
        <w:rPr>
          <w:rStyle w:val="Nessuno"/>
          <w:rFonts w:ascii="Calibri" w:hAnsi="Calibri"/>
          <w:b/>
          <w:color w:val="75787B"/>
          <w:spacing w:val="-1"/>
          <w:sz w:val="24"/>
          <w:szCs w:val="24"/>
          <w:u w:color="75787B"/>
        </w:rPr>
        <w:t xml:space="preserve"> </w:t>
      </w:r>
      <w:r w:rsidRPr="00D2387E">
        <w:rPr>
          <w:rStyle w:val="Nessuno"/>
          <w:rFonts w:ascii="Calibri" w:hAnsi="Calibri"/>
          <w:b/>
          <w:color w:val="75787B"/>
          <w:spacing w:val="-1"/>
          <w:sz w:val="24"/>
          <w:szCs w:val="24"/>
          <w:u w:color="75787B"/>
        </w:rPr>
        <w:t>luglio</w:t>
      </w:r>
      <w:r w:rsidR="00E74BDB" w:rsidRPr="00D2387E">
        <w:rPr>
          <w:rStyle w:val="Nessuno"/>
          <w:rFonts w:ascii="Calibri" w:hAnsi="Calibri"/>
          <w:b/>
          <w:color w:val="75787B"/>
          <w:spacing w:val="-1"/>
          <w:sz w:val="24"/>
          <w:szCs w:val="24"/>
          <w:u w:color="75787B"/>
        </w:rPr>
        <w:t xml:space="preserve"> 2018</w:t>
      </w:r>
      <w:r w:rsidR="00E74BDB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– Nexi S.p.A., </w:t>
      </w: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società </w:t>
      </w:r>
      <w:r w:rsidR="00E74BDB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controllata dal</w:t>
      </w:r>
      <w:r w:rsidR="00E74BDB" w:rsidRPr="00D2387E">
        <w:rPr>
          <w:rFonts w:ascii="Calibri" w:hAnsi="Calibri"/>
          <w:sz w:val="24"/>
          <w:szCs w:val="24"/>
        </w:rPr>
        <w:t xml:space="preserve"> </w:t>
      </w:r>
      <w:r w:rsidR="00E74BDB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consorzio di fondi </w:t>
      </w:r>
      <w:r w:rsidR="00F00610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gestiti</w:t>
      </w:r>
      <w:r w:rsidR="00E74BDB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da Advent International, Bain Capital Private Equity e Clessidra, </w:t>
      </w:r>
      <w:r w:rsidR="00B74248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ha </w:t>
      </w:r>
      <w:r w:rsidR="007D6EE6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finalizzato </w:t>
      </w:r>
      <w:r w:rsidR="00954576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la riorganizzazione societaria volta a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lla </w:t>
      </w:r>
      <w:r w:rsidR="00954576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separa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zione</w:t>
      </w:r>
      <w:r w:rsidR="00954576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delle attività </w:t>
      </w:r>
      <w:r w:rsidR="00DE5F7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legate ai pagamenti digitali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da quelle di </w:t>
      </w: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natura strettamente bancaria</w:t>
      </w:r>
      <w:r w:rsidR="00221C5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(Securities Servicies e</w:t>
      </w:r>
      <w:r w:rsidR="00DE5F7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Servizi di Tramitazione)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.</w:t>
      </w:r>
    </w:p>
    <w:p w:rsidR="00221C57" w:rsidRPr="00D2387E" w:rsidRDefault="00DE5F77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</w:p>
    <w:p w:rsidR="00D2387E" w:rsidRDefault="00CA6212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Il nuovo assetto societario, </w:t>
      </w:r>
      <w:r w:rsidR="00221C5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operativ</w:t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o</w:t>
      </w:r>
      <w:r w:rsidR="00221C5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dal</w:t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primo di </w:t>
      </w:r>
      <w:r w:rsidR="00221C5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luglio</w:t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,</w:t>
      </w:r>
      <w:r w:rsid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consente </w:t>
      </w:r>
      <w:r w:rsidR="00221C5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a Nexi </w:t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di </w:t>
      </w:r>
      <w:r w:rsidR="007D6EE6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focalizzarsi ulteriormente sul proprio core business</w:t>
      </w:r>
      <w:r w:rsidR="00FD3CCA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e </w:t>
      </w:r>
      <w:r w:rsidR="00E7084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sulla mission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  <w:r w:rsidR="00FD3CCA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di </w:t>
      </w:r>
      <w:r w:rsidR="00221C5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Pay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-</w:t>
      </w:r>
      <w:r w:rsidR="00221C5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Tech 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delle banche c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on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l’obiettivo di sviluppare </w:t>
      </w:r>
      <w:r w:rsidR="00221C57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il futuro dei pagamenti digitali in Italia. </w:t>
      </w:r>
    </w:p>
    <w:p w:rsidR="00CA6212" w:rsidRDefault="00CA6212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</w:p>
    <w:p w:rsidR="00DE5F77" w:rsidRDefault="00CA6212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Si conclude così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,</w:t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positivamente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,</w:t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il processo di riorganizzazione avviato 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lo scorso 31 gennaio con l</w:t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’istanza depositata in Banca d’Italia</w:t>
      </w:r>
      <w:r w:rsidR="00DE5F77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.</w:t>
      </w:r>
    </w:p>
    <w:p w:rsidR="00F07E82" w:rsidRDefault="00F07E82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</w:p>
    <w:p w:rsidR="00CA6212" w:rsidRDefault="00F07E82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All’interno del nuovo gruppo guidato da Paolo Bertoluzzo, in qualità di amministratore delegato, rientrano Nexi Payments, Bassilichi, Mercury Payment Services, Oasi e Help Line. </w:t>
      </w:r>
      <w:r w:rsid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</w:p>
    <w:p w:rsidR="00F07E82" w:rsidRPr="00D2387E" w:rsidRDefault="00F07E82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</w:p>
    <w:p w:rsidR="00D2387E" w:rsidRPr="00D2387E" w:rsidRDefault="00221C57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Le attività bancarie, dalla stessa data,</w:t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sono </w:t>
      </w:r>
      <w:r w:rsidR="00C81B95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state </w:t>
      </w:r>
      <w:r w:rsid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concentrate 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in DEPObank, la </w:t>
      </w:r>
      <w:r w:rsid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nuova B</w:t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anca </w:t>
      </w:r>
      <w:r w:rsid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D</w:t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epositaria</w:t>
      </w:r>
      <w:r w:rsidR="00C81B95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Italiana </w:t>
      </w:r>
      <w:r w:rsidR="00B0678D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nata dallo scorporo</w:t>
      </w:r>
      <w:r w:rsidR="00FD3CCA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societario</w:t>
      </w:r>
      <w:r w:rsidR="00C81B95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-</w:t>
      </w:r>
      <w:r w:rsidR="00B0678D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che sarà </w:t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guidata da un management 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e un consiglio di amministrazione completamente distinto ed </w:t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indipendente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da quello del Gruppo Nexi</w:t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.</w:t>
      </w:r>
    </w:p>
    <w:p w:rsidR="00954576" w:rsidRDefault="00954576" w:rsidP="00954576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</w:p>
    <w:p w:rsidR="00D2387E" w:rsidRDefault="00D2387E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  <w:r w:rsidRP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In data odierna si è </w:t>
      </w:r>
      <w:r w:rsidR="00C81B95" w:rsidRP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inoltre </w:t>
      </w:r>
      <w:r w:rsidRP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riunito il </w:t>
      </w:r>
      <w:r w:rsid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primo consiglio di amministrazione </w:t>
      </w:r>
      <w:r w:rsidR="00A02A69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di Nexi S.p.A.</w:t>
      </w:r>
      <w:r w:rsidRP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che vede </w:t>
      </w:r>
      <w:r w:rsidR="00FB6F9D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Franco Bernabè come Presidente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  <w:r w:rsidR="00FB6F9D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e Paolo Bertoluzzo Amministratore Delegato </w:t>
      </w:r>
      <w:r w:rsidR="00F07E8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del Gruppo</w:t>
      </w:r>
      <w:r w:rsidR="00FB6F9D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. Del CDA fanno parte anche Giuseppe Capponcelli come Vice Presidente e</w:t>
      </w:r>
      <w:r w:rsid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</w:t>
      </w:r>
      <w:r w:rsidR="00FB6F9D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i </w:t>
      </w:r>
      <w:r w:rsid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consiglieri </w:t>
      </w:r>
      <w:r w:rsidR="00121639" w:rsidRP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Luca Bassi, James Brocklebank, Francesco Casiraghi, Michela Castelli, Simone Cucchetti, Stuart Gent, Federico Ghizzoni, Robin Marshall, Jeffrey Paduch</w:t>
      </w:r>
      <w:r w:rsid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e</w:t>
      </w:r>
      <w:r w:rsidR="00121639" w:rsidRPr="00CA6212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 xml:space="preserve"> Antonio Patuelli.</w:t>
      </w:r>
    </w:p>
    <w:p w:rsidR="00CA6212" w:rsidRDefault="00CA6212" w:rsidP="00D2387E">
      <w:pPr>
        <w:spacing w:line="300" w:lineRule="exact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</w:p>
    <w:p w:rsidR="00D559A6" w:rsidRPr="00D2387E" w:rsidRDefault="00D559A6" w:rsidP="00D2387E">
      <w:pPr>
        <w:pBdr>
          <w:bottom w:val="single" w:sz="6" w:space="0" w:color="000000"/>
        </w:pBdr>
        <w:spacing w:line="360" w:lineRule="auto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</w:p>
    <w:p w:rsidR="00D06261" w:rsidRPr="00121639" w:rsidRDefault="00D06261" w:rsidP="00D2387E">
      <w:pPr>
        <w:spacing w:line="240" w:lineRule="auto"/>
        <w:jc w:val="both"/>
        <w:rPr>
          <w:rStyle w:val="Nessuno"/>
          <w:rFonts w:ascii="Calibri" w:hAnsi="Calibri"/>
          <w:b/>
          <w:color w:val="4472C4" w:themeColor="accent1"/>
          <w:spacing w:val="-1"/>
          <w:sz w:val="24"/>
          <w:szCs w:val="24"/>
          <w:u w:color="75787B"/>
        </w:rPr>
      </w:pPr>
    </w:p>
    <w:p w:rsidR="00E7084E" w:rsidRPr="00BF7111" w:rsidRDefault="00E7084E" w:rsidP="00D2387E">
      <w:pPr>
        <w:spacing w:line="240" w:lineRule="auto"/>
        <w:jc w:val="both"/>
        <w:rPr>
          <w:rStyle w:val="Nessuno"/>
          <w:rFonts w:ascii="Calibri" w:hAnsi="Calibri"/>
          <w:b/>
          <w:color w:val="4472C4" w:themeColor="accent1"/>
          <w:spacing w:val="-1"/>
          <w:sz w:val="24"/>
          <w:szCs w:val="24"/>
          <w:u w:color="75787B"/>
        </w:rPr>
      </w:pPr>
    </w:p>
    <w:p w:rsidR="00E7084E" w:rsidRPr="00BF7111" w:rsidRDefault="00E7084E" w:rsidP="00D2387E">
      <w:pPr>
        <w:spacing w:line="240" w:lineRule="auto"/>
        <w:jc w:val="both"/>
        <w:rPr>
          <w:rStyle w:val="Nessuno"/>
          <w:rFonts w:ascii="Calibri" w:hAnsi="Calibri"/>
          <w:b/>
          <w:color w:val="4472C4" w:themeColor="accent1"/>
          <w:spacing w:val="-1"/>
          <w:sz w:val="24"/>
          <w:szCs w:val="24"/>
          <w:u w:color="75787B"/>
        </w:rPr>
      </w:pPr>
    </w:p>
    <w:p w:rsidR="002D2E9E" w:rsidRDefault="00AA1564" w:rsidP="00D2387E">
      <w:pPr>
        <w:spacing w:line="240" w:lineRule="auto"/>
        <w:jc w:val="both"/>
        <w:rPr>
          <w:rStyle w:val="Nessuno"/>
          <w:rFonts w:ascii="Calibri" w:hAnsi="Calibri"/>
          <w:b/>
          <w:color w:val="4472C4" w:themeColor="accent1"/>
          <w:spacing w:val="-1"/>
          <w:sz w:val="24"/>
          <w:szCs w:val="24"/>
          <w:u w:color="75787B"/>
          <w:lang w:val="en-US"/>
        </w:rPr>
      </w:pPr>
      <w:r w:rsidRPr="00D2387E">
        <w:rPr>
          <w:rStyle w:val="Nessuno"/>
          <w:rFonts w:ascii="Calibri" w:hAnsi="Calibri"/>
          <w:b/>
          <w:color w:val="4472C4" w:themeColor="accent1"/>
          <w:spacing w:val="-1"/>
          <w:sz w:val="24"/>
          <w:szCs w:val="24"/>
          <w:u w:color="75787B"/>
          <w:lang w:val="en-US"/>
        </w:rPr>
        <w:lastRenderedPageBreak/>
        <w:t xml:space="preserve">External Communication &amp; Media Relations </w:t>
      </w:r>
      <w:r w:rsidR="00D2387E">
        <w:rPr>
          <w:rStyle w:val="Nessuno"/>
          <w:rFonts w:ascii="Calibri" w:hAnsi="Calibri"/>
          <w:b/>
          <w:color w:val="4472C4" w:themeColor="accent1"/>
          <w:spacing w:val="-1"/>
          <w:sz w:val="24"/>
          <w:szCs w:val="24"/>
          <w:u w:color="75787B"/>
          <w:lang w:val="en-US"/>
        </w:rPr>
        <w:t>–</w:t>
      </w:r>
      <w:r w:rsidR="003350B7" w:rsidRPr="00D2387E">
        <w:rPr>
          <w:rStyle w:val="Nessuno"/>
          <w:rFonts w:ascii="Calibri" w:hAnsi="Calibri"/>
          <w:b/>
          <w:color w:val="4472C4" w:themeColor="accent1"/>
          <w:spacing w:val="-1"/>
          <w:sz w:val="24"/>
          <w:szCs w:val="24"/>
          <w:u w:color="75787B"/>
          <w:lang w:val="en-US"/>
        </w:rPr>
        <w:t xml:space="preserve"> </w:t>
      </w:r>
      <w:r w:rsidRPr="00D2387E">
        <w:rPr>
          <w:rStyle w:val="Nessuno"/>
          <w:rFonts w:ascii="Calibri" w:hAnsi="Calibri"/>
          <w:b/>
          <w:color w:val="4472C4" w:themeColor="accent1"/>
          <w:spacing w:val="-1"/>
          <w:sz w:val="24"/>
          <w:szCs w:val="24"/>
          <w:u w:color="75787B"/>
          <w:lang w:val="en-US"/>
        </w:rPr>
        <w:t>Nexi</w:t>
      </w:r>
    </w:p>
    <w:p w:rsidR="00D2387E" w:rsidRPr="00D2387E" w:rsidRDefault="00D2387E" w:rsidP="00D2387E">
      <w:pPr>
        <w:spacing w:line="240" w:lineRule="auto"/>
        <w:jc w:val="both"/>
        <w:rPr>
          <w:rStyle w:val="Nessuno"/>
          <w:rFonts w:ascii="Calibri" w:hAnsi="Calibri"/>
          <w:b/>
          <w:color w:val="4472C4" w:themeColor="accent1"/>
          <w:spacing w:val="-1"/>
          <w:sz w:val="24"/>
          <w:szCs w:val="24"/>
          <w:u w:color="75787B"/>
          <w:lang w:val="en-US"/>
        </w:rPr>
      </w:pPr>
    </w:p>
    <w:p w:rsidR="00AA1564" w:rsidRPr="00D2387E" w:rsidRDefault="00AA1564" w:rsidP="00D2387E">
      <w:pPr>
        <w:spacing w:line="240" w:lineRule="auto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</w:pP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  <w:t>Daniele de Sanctis</w:t>
      </w: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  <w:tab/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  <w:tab/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  <w:tab/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  <w:tab/>
        <w:t>Matteo Abbondanza</w:t>
      </w: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  <w:tab/>
      </w:r>
    </w:p>
    <w:p w:rsidR="00D2387E" w:rsidRPr="00D2387E" w:rsidRDefault="00652386" w:rsidP="00D2387E">
      <w:pPr>
        <w:spacing w:line="240" w:lineRule="auto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</w:pPr>
      <w:hyperlink r:id="rId7" w:history="1">
        <w:r w:rsidR="00AA1564" w:rsidRPr="00D2387E">
          <w:rPr>
            <w:rStyle w:val="Nessuno"/>
            <w:rFonts w:ascii="Calibri" w:hAnsi="Calibri"/>
            <w:color w:val="75787B"/>
            <w:sz w:val="24"/>
            <w:szCs w:val="24"/>
            <w:lang w:val="en-US"/>
          </w:rPr>
          <w:t>daniele.desanctis@nexi.it</w:t>
        </w:r>
      </w:hyperlink>
      <w:r w:rsidR="00AA1564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  <w:tab/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  <w:tab/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  <w:lang w:val="en-US"/>
        </w:rPr>
        <w:tab/>
        <w:t>matteo.abbondanza@nexi.it</w:t>
      </w:r>
    </w:p>
    <w:p w:rsidR="00D2387E" w:rsidRPr="00D2387E" w:rsidRDefault="001223EF" w:rsidP="00D2387E">
      <w:pPr>
        <w:spacing w:line="240" w:lineRule="auto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346.015.1000</w:t>
      </w:r>
      <w:r w:rsidR="00AA1564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 w:rsidR="00AA1564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 w:rsidR="00AA1564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 w:rsid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 w:rsid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 w:rsidR="00D2387E"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348.4068.858</w:t>
      </w:r>
    </w:p>
    <w:p w:rsidR="00D2387E" w:rsidRPr="00D2387E" w:rsidRDefault="00D2387E" w:rsidP="00D2387E">
      <w:pPr>
        <w:spacing w:line="240" w:lineRule="auto"/>
        <w:jc w:val="both"/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</w:pP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02.3488.4491</w:t>
      </w: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ab/>
      </w:r>
      <w:r w:rsidRPr="00D2387E">
        <w:rPr>
          <w:rStyle w:val="Nessuno"/>
          <w:rFonts w:ascii="Calibri" w:hAnsi="Calibri"/>
          <w:color w:val="75787B"/>
          <w:spacing w:val="-1"/>
          <w:sz w:val="24"/>
          <w:szCs w:val="24"/>
          <w:u w:color="75787B"/>
        </w:rPr>
        <w:t>02.3488.2202</w:t>
      </w:r>
    </w:p>
    <w:sectPr w:rsidR="00D2387E" w:rsidRPr="00D2387E">
      <w:headerReference w:type="default" r:id="rId8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86" w:rsidRDefault="00652386">
      <w:pPr>
        <w:spacing w:line="240" w:lineRule="auto"/>
      </w:pPr>
      <w:r>
        <w:separator/>
      </w:r>
    </w:p>
  </w:endnote>
  <w:endnote w:type="continuationSeparator" w:id="0">
    <w:p w:rsidR="00652386" w:rsidRDefault="00652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86" w:rsidRDefault="00652386">
      <w:pPr>
        <w:spacing w:line="240" w:lineRule="auto"/>
      </w:pPr>
      <w:r>
        <w:separator/>
      </w:r>
    </w:p>
  </w:footnote>
  <w:footnote w:type="continuationSeparator" w:id="0">
    <w:p w:rsidR="00652386" w:rsidRDefault="00652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034150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58CC15" wp14:editId="5A9A16F9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1225685" cy="397024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18-05-11 alle 14.54.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85" cy="397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974492A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CA4F7E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C94A8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9EF3D8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48F978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18C4D2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A2C2A8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222654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ECA9DE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34150"/>
    <w:rsid w:val="000445BB"/>
    <w:rsid w:val="00087762"/>
    <w:rsid w:val="0009149A"/>
    <w:rsid w:val="000A6F97"/>
    <w:rsid w:val="00121639"/>
    <w:rsid w:val="001223EF"/>
    <w:rsid w:val="001D1827"/>
    <w:rsid w:val="00221C57"/>
    <w:rsid w:val="00231096"/>
    <w:rsid w:val="002550D3"/>
    <w:rsid w:val="002A162A"/>
    <w:rsid w:val="002D2E9E"/>
    <w:rsid w:val="00302628"/>
    <w:rsid w:val="003160F1"/>
    <w:rsid w:val="0032148B"/>
    <w:rsid w:val="003350B7"/>
    <w:rsid w:val="003505E2"/>
    <w:rsid w:val="003628E2"/>
    <w:rsid w:val="003707A9"/>
    <w:rsid w:val="00395709"/>
    <w:rsid w:val="00395834"/>
    <w:rsid w:val="003C706C"/>
    <w:rsid w:val="003E2CB6"/>
    <w:rsid w:val="00494FD0"/>
    <w:rsid w:val="004B1BE6"/>
    <w:rsid w:val="004D4940"/>
    <w:rsid w:val="005B67D9"/>
    <w:rsid w:val="005C5E4D"/>
    <w:rsid w:val="00614AC4"/>
    <w:rsid w:val="006470AA"/>
    <w:rsid w:val="00652386"/>
    <w:rsid w:val="006D67EE"/>
    <w:rsid w:val="006F3D22"/>
    <w:rsid w:val="00742DD5"/>
    <w:rsid w:val="00764F01"/>
    <w:rsid w:val="007B7D61"/>
    <w:rsid w:val="007D22A2"/>
    <w:rsid w:val="007D6EE6"/>
    <w:rsid w:val="0088221E"/>
    <w:rsid w:val="00897D37"/>
    <w:rsid w:val="008A3475"/>
    <w:rsid w:val="008D2E2B"/>
    <w:rsid w:val="00913598"/>
    <w:rsid w:val="00936C60"/>
    <w:rsid w:val="00954576"/>
    <w:rsid w:val="009F192C"/>
    <w:rsid w:val="009F509D"/>
    <w:rsid w:val="00A02A69"/>
    <w:rsid w:val="00A151AB"/>
    <w:rsid w:val="00A73159"/>
    <w:rsid w:val="00AA1564"/>
    <w:rsid w:val="00AA4C0D"/>
    <w:rsid w:val="00B011E8"/>
    <w:rsid w:val="00B0678D"/>
    <w:rsid w:val="00B14155"/>
    <w:rsid w:val="00B74248"/>
    <w:rsid w:val="00BB5AC9"/>
    <w:rsid w:val="00BD4175"/>
    <w:rsid w:val="00BF7111"/>
    <w:rsid w:val="00C81B95"/>
    <w:rsid w:val="00CA6212"/>
    <w:rsid w:val="00CC6246"/>
    <w:rsid w:val="00CC6BA6"/>
    <w:rsid w:val="00CD2EE0"/>
    <w:rsid w:val="00CF4DD7"/>
    <w:rsid w:val="00D06261"/>
    <w:rsid w:val="00D17BC9"/>
    <w:rsid w:val="00D2387E"/>
    <w:rsid w:val="00D26F2D"/>
    <w:rsid w:val="00D559A6"/>
    <w:rsid w:val="00D65324"/>
    <w:rsid w:val="00DE5F77"/>
    <w:rsid w:val="00E31A74"/>
    <w:rsid w:val="00E46DB0"/>
    <w:rsid w:val="00E7084E"/>
    <w:rsid w:val="00E74BDB"/>
    <w:rsid w:val="00E80B0B"/>
    <w:rsid w:val="00E820E5"/>
    <w:rsid w:val="00E859AD"/>
    <w:rsid w:val="00E86B4A"/>
    <w:rsid w:val="00EE279F"/>
    <w:rsid w:val="00F00610"/>
    <w:rsid w:val="00F07E82"/>
    <w:rsid w:val="00F36EEE"/>
    <w:rsid w:val="00FB6F9D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paragraph" w:styleId="Pidipagina">
    <w:name w:val="footer"/>
    <w:basedOn w:val="Normale"/>
    <w:link w:val="PidipaginaCarattere"/>
    <w:uiPriority w:val="99"/>
    <w:unhideWhenUsed/>
    <w:rsid w:val="00EE27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79F"/>
    <w:rPr>
      <w:rFonts w:ascii="Arial" w:hAnsi="Arial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F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F7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e.desanctis@nex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Abbondanza Matteo</dc:creator>
  <cp:lastModifiedBy>Abbondanza Matteo</cp:lastModifiedBy>
  <cp:revision>4</cp:revision>
  <cp:lastPrinted>2018-06-29T13:34:00Z</cp:lastPrinted>
  <dcterms:created xsi:type="dcterms:W3CDTF">2018-06-29T15:38:00Z</dcterms:created>
  <dcterms:modified xsi:type="dcterms:W3CDTF">2018-07-02T11:08:00Z</dcterms:modified>
</cp:coreProperties>
</file>