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2E8F" w14:textId="77777777" w:rsidR="00C4183F" w:rsidRPr="00280B4E" w:rsidRDefault="006B3FA9" w:rsidP="00C418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br w:type="textWrapping" w:clear="all"/>
      </w:r>
    </w:p>
    <w:p w14:paraId="13CDE6CA" w14:textId="77777777" w:rsidR="00900FA3" w:rsidRDefault="00900FA3" w:rsidP="006B3FA9">
      <w:pPr>
        <w:rPr>
          <w:rFonts w:ascii="Gill Sans" w:hAnsi="Gill Sans" w:cs="Gill Sans"/>
          <w:b/>
          <w:sz w:val="28"/>
        </w:rPr>
      </w:pPr>
    </w:p>
    <w:p w14:paraId="2ECCDE84" w14:textId="04814267" w:rsidR="00893CE0" w:rsidRPr="00893CE0" w:rsidRDefault="00893CE0" w:rsidP="00893CE0">
      <w:pPr>
        <w:jc w:val="center"/>
        <w:rPr>
          <w:rFonts w:asciiTheme="majorHAnsi" w:hAnsiTheme="majorHAnsi" w:cs="Gill Sans"/>
          <w:b/>
          <w:sz w:val="22"/>
          <w:szCs w:val="22"/>
          <w:u w:val="single"/>
        </w:rPr>
      </w:pPr>
      <w:r w:rsidRPr="00893CE0">
        <w:rPr>
          <w:rFonts w:asciiTheme="majorHAnsi" w:hAnsiTheme="majorHAnsi" w:cs="Gill Sans"/>
          <w:b/>
          <w:sz w:val="22"/>
          <w:szCs w:val="22"/>
          <w:u w:val="single"/>
        </w:rPr>
        <w:t>Comunicato stampa</w:t>
      </w:r>
    </w:p>
    <w:p w14:paraId="03CBBB26" w14:textId="39D764B1" w:rsidR="000F6CC4" w:rsidRDefault="000F6CC4" w:rsidP="005F2FB1">
      <w:pPr>
        <w:jc w:val="center"/>
        <w:rPr>
          <w:rFonts w:ascii="Gill Sans" w:hAnsi="Gill Sans" w:cs="Gill Sans"/>
          <w:b/>
          <w:sz w:val="28"/>
        </w:rPr>
      </w:pPr>
    </w:p>
    <w:p w14:paraId="56168652" w14:textId="457BB148" w:rsidR="00995B1F" w:rsidRPr="00893CE0" w:rsidRDefault="00995B1F" w:rsidP="005F2FB1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893CE0">
        <w:rPr>
          <w:rFonts w:asciiTheme="majorHAnsi" w:hAnsiTheme="majorHAnsi" w:cs="Gill Sans"/>
          <w:b/>
          <w:sz w:val="28"/>
          <w:szCs w:val="28"/>
        </w:rPr>
        <w:t>Nexi</w:t>
      </w:r>
      <w:r w:rsidR="000F6CC4" w:rsidRPr="00893CE0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592DFF">
        <w:rPr>
          <w:rFonts w:asciiTheme="majorHAnsi" w:hAnsiTheme="majorHAnsi" w:cs="Gill Sans"/>
          <w:b/>
          <w:sz w:val="28"/>
          <w:szCs w:val="28"/>
        </w:rPr>
        <w:t xml:space="preserve">con Amazon Pay per gli acquisti online </w:t>
      </w:r>
    </w:p>
    <w:p w14:paraId="64A2364B" w14:textId="77777777" w:rsidR="00995B1F" w:rsidRDefault="00995B1F" w:rsidP="005F2FB1">
      <w:pPr>
        <w:jc w:val="center"/>
        <w:rPr>
          <w:rFonts w:asciiTheme="majorHAnsi" w:hAnsiTheme="majorHAnsi" w:cs="Gill Sans"/>
          <w:b/>
          <w:sz w:val="22"/>
          <w:szCs w:val="22"/>
        </w:rPr>
      </w:pPr>
    </w:p>
    <w:p w14:paraId="173EA382" w14:textId="3F336599" w:rsidR="000F6CC4" w:rsidRPr="00995B1F" w:rsidRDefault="00995B1F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  <w:r w:rsidRPr="00995B1F">
        <w:rPr>
          <w:rFonts w:asciiTheme="majorHAnsi" w:hAnsiTheme="majorHAnsi" w:cs="Gill Sans"/>
          <w:i/>
          <w:sz w:val="22"/>
          <w:szCs w:val="22"/>
        </w:rPr>
        <w:t xml:space="preserve">XPay - il gateway </w:t>
      </w:r>
      <w:r w:rsidR="00592DFF">
        <w:rPr>
          <w:rFonts w:asciiTheme="majorHAnsi" w:hAnsiTheme="majorHAnsi" w:cs="Gill Sans"/>
          <w:i/>
          <w:sz w:val="22"/>
          <w:szCs w:val="22"/>
        </w:rPr>
        <w:t xml:space="preserve">per l’ecommerce </w:t>
      </w:r>
      <w:r w:rsidRPr="00995B1F">
        <w:rPr>
          <w:rFonts w:asciiTheme="majorHAnsi" w:hAnsiTheme="majorHAnsi" w:cs="Gill Sans"/>
          <w:i/>
          <w:sz w:val="22"/>
          <w:szCs w:val="22"/>
        </w:rPr>
        <w:t xml:space="preserve">di Nexi - </w:t>
      </w:r>
      <w:r w:rsidR="00592DFF">
        <w:rPr>
          <w:rFonts w:asciiTheme="majorHAnsi" w:hAnsiTheme="majorHAnsi" w:cs="Gill Sans"/>
          <w:i/>
          <w:sz w:val="22"/>
          <w:szCs w:val="22"/>
        </w:rPr>
        <w:br/>
      </w:r>
      <w:r w:rsidRPr="00995B1F">
        <w:rPr>
          <w:rFonts w:asciiTheme="majorHAnsi" w:hAnsiTheme="majorHAnsi" w:cs="Gill Sans"/>
          <w:i/>
          <w:sz w:val="22"/>
          <w:szCs w:val="22"/>
        </w:rPr>
        <w:t xml:space="preserve">integra </w:t>
      </w:r>
      <w:r w:rsidR="00592DFF">
        <w:rPr>
          <w:rFonts w:asciiTheme="majorHAnsi" w:hAnsiTheme="majorHAnsi" w:cs="Gill Sans"/>
          <w:i/>
          <w:sz w:val="22"/>
          <w:szCs w:val="22"/>
        </w:rPr>
        <w:t>Amazon Pay tra le modalità di pagamento online</w:t>
      </w:r>
    </w:p>
    <w:p w14:paraId="24B53F97" w14:textId="58554EB5" w:rsidR="000F6CC4" w:rsidRDefault="000F6CC4" w:rsidP="005F2FB1">
      <w:pPr>
        <w:jc w:val="center"/>
        <w:rPr>
          <w:rFonts w:asciiTheme="majorHAnsi" w:hAnsiTheme="majorHAnsi" w:cs="Gill Sans"/>
          <w:b/>
          <w:sz w:val="22"/>
          <w:szCs w:val="22"/>
        </w:rPr>
      </w:pPr>
    </w:p>
    <w:p w14:paraId="465AF5BC" w14:textId="77777777" w:rsidR="00B37AE7" w:rsidRPr="00817329" w:rsidRDefault="00B37AE7" w:rsidP="00672B9F">
      <w:pPr>
        <w:jc w:val="center"/>
        <w:rPr>
          <w:rFonts w:asciiTheme="majorHAnsi" w:eastAsia="Times New Roman" w:hAnsiTheme="majorHAnsi" w:cs="Times New Roman"/>
          <w:i/>
          <w:sz w:val="22"/>
          <w:szCs w:val="22"/>
        </w:rPr>
      </w:pPr>
    </w:p>
    <w:p w14:paraId="33988B76" w14:textId="3471A34F" w:rsidR="00D1118E" w:rsidRDefault="00FD4BCE" w:rsidP="00D1118E">
      <w:pPr>
        <w:spacing w:after="150"/>
        <w:jc w:val="both"/>
        <w:rPr>
          <w:rFonts w:asciiTheme="majorHAnsi" w:hAnsiTheme="majorHAnsi" w:cs="Gill Sans"/>
          <w:sz w:val="22"/>
          <w:szCs w:val="22"/>
        </w:rPr>
      </w:pPr>
      <w:r w:rsidRPr="00D1118E">
        <w:rPr>
          <w:rFonts w:asciiTheme="majorHAnsi" w:hAnsiTheme="majorHAnsi" w:cs="Gill Sans"/>
          <w:i/>
          <w:sz w:val="22"/>
          <w:szCs w:val="22"/>
        </w:rPr>
        <w:t>M</w:t>
      </w:r>
      <w:r w:rsidR="009B3DC7" w:rsidRPr="00D1118E">
        <w:rPr>
          <w:rFonts w:asciiTheme="majorHAnsi" w:hAnsiTheme="majorHAnsi" w:cs="Gill Sans"/>
          <w:i/>
          <w:sz w:val="22"/>
          <w:szCs w:val="22"/>
        </w:rPr>
        <w:t xml:space="preserve">ilano, </w:t>
      </w:r>
      <w:r w:rsidR="00995B1F" w:rsidRPr="00D1118E">
        <w:rPr>
          <w:rFonts w:asciiTheme="majorHAnsi" w:hAnsiTheme="majorHAnsi" w:cs="Gill Sans"/>
          <w:i/>
          <w:sz w:val="22"/>
          <w:szCs w:val="22"/>
        </w:rPr>
        <w:t>2</w:t>
      </w:r>
      <w:r w:rsidR="00D1118E">
        <w:rPr>
          <w:rFonts w:asciiTheme="majorHAnsi" w:hAnsiTheme="majorHAnsi" w:cs="Gill Sans"/>
          <w:i/>
          <w:sz w:val="22"/>
          <w:szCs w:val="22"/>
        </w:rPr>
        <w:t>8</w:t>
      </w:r>
      <w:r w:rsidR="00F809DE" w:rsidRPr="00D1118E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577B08" w:rsidRPr="00D1118E">
        <w:rPr>
          <w:rFonts w:asciiTheme="majorHAnsi" w:hAnsiTheme="majorHAnsi" w:cs="Gill Sans"/>
          <w:i/>
          <w:sz w:val="22"/>
          <w:szCs w:val="22"/>
        </w:rPr>
        <w:t>maggio</w:t>
      </w:r>
      <w:r w:rsidR="003F50F7" w:rsidRPr="00D1118E">
        <w:rPr>
          <w:rFonts w:asciiTheme="majorHAnsi" w:hAnsiTheme="majorHAnsi" w:cs="Gill Sans"/>
          <w:i/>
          <w:sz w:val="22"/>
          <w:szCs w:val="22"/>
        </w:rPr>
        <w:t xml:space="preserve"> 2018</w:t>
      </w:r>
      <w:r w:rsidR="009B3DC7" w:rsidRPr="00D1118E">
        <w:rPr>
          <w:rFonts w:asciiTheme="majorHAnsi" w:hAnsiTheme="majorHAnsi" w:cs="Gill Sans"/>
          <w:sz w:val="22"/>
          <w:szCs w:val="22"/>
        </w:rPr>
        <w:t xml:space="preserve"> –</w:t>
      </w:r>
      <w:r w:rsidR="00622908" w:rsidRPr="00D1118E">
        <w:rPr>
          <w:rFonts w:asciiTheme="majorHAnsi" w:hAnsiTheme="majorHAnsi" w:cs="Gill Sans"/>
          <w:sz w:val="22"/>
          <w:szCs w:val="22"/>
        </w:rPr>
        <w:t xml:space="preserve"> </w:t>
      </w:r>
      <w:r w:rsidR="00995B1F" w:rsidRPr="00D1118E">
        <w:rPr>
          <w:rFonts w:asciiTheme="majorHAnsi" w:hAnsiTheme="majorHAnsi" w:cs="Gill Sans"/>
          <w:sz w:val="22"/>
          <w:szCs w:val="22"/>
        </w:rPr>
        <w:t xml:space="preserve">Nexi </w:t>
      </w:r>
      <w:r w:rsidR="00D1118E" w:rsidRPr="00D1118E">
        <w:rPr>
          <w:rFonts w:asciiTheme="majorHAnsi" w:hAnsiTheme="majorHAnsi" w:cs="Gill Sans"/>
          <w:sz w:val="22"/>
          <w:szCs w:val="22"/>
        </w:rPr>
        <w:t>rende disponibile Amazon Pay per gli esercenti che utilizzano XPay, il gateway di pagamento per l’ecommerce attivabile in sole 48 ore</w:t>
      </w:r>
      <w:r w:rsidR="00540443">
        <w:rPr>
          <w:rFonts w:asciiTheme="majorHAnsi" w:hAnsiTheme="majorHAnsi" w:cs="Gill Sans"/>
          <w:sz w:val="22"/>
          <w:szCs w:val="22"/>
        </w:rPr>
        <w:t xml:space="preserve"> direttamente online</w:t>
      </w:r>
      <w:r w:rsidR="00D1118E">
        <w:rPr>
          <w:rFonts w:asciiTheme="majorHAnsi" w:hAnsiTheme="majorHAnsi" w:cs="Gill Sans"/>
          <w:sz w:val="22"/>
          <w:szCs w:val="22"/>
        </w:rPr>
        <w:t xml:space="preserve">. </w:t>
      </w:r>
    </w:p>
    <w:p w14:paraId="7C0DDD40" w14:textId="1C427CF3" w:rsidR="00D1118E" w:rsidRDefault="006B57B6" w:rsidP="00D1118E">
      <w:pPr>
        <w:spacing w:after="150"/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Da oggi, i</w:t>
      </w:r>
      <w:r w:rsidR="00D1118E">
        <w:rPr>
          <w:rFonts w:asciiTheme="majorHAnsi" w:hAnsiTheme="majorHAnsi" w:cs="Gill Sans"/>
          <w:sz w:val="22"/>
          <w:szCs w:val="22"/>
        </w:rPr>
        <w:t xml:space="preserve"> merchant che </w:t>
      </w:r>
      <w:r w:rsidR="00A7406C">
        <w:rPr>
          <w:rFonts w:asciiTheme="majorHAnsi" w:hAnsiTheme="majorHAnsi" w:cs="Gill Sans"/>
          <w:sz w:val="22"/>
          <w:szCs w:val="22"/>
        </w:rPr>
        <w:t>scelgono la piattaforma di Nexi</w:t>
      </w:r>
      <w:r>
        <w:rPr>
          <w:rFonts w:asciiTheme="majorHAnsi" w:hAnsiTheme="majorHAnsi" w:cs="Gill Sans"/>
          <w:sz w:val="22"/>
          <w:szCs w:val="22"/>
        </w:rPr>
        <w:t xml:space="preserve"> potranno offrire</w:t>
      </w:r>
      <w:r w:rsidR="00A7406C">
        <w:rPr>
          <w:rFonts w:asciiTheme="majorHAnsi" w:hAnsiTheme="majorHAnsi" w:cs="Gill Sans"/>
          <w:sz w:val="22"/>
          <w:szCs w:val="22"/>
        </w:rPr>
        <w:t xml:space="preserve"> </w:t>
      </w:r>
      <w:r>
        <w:rPr>
          <w:rFonts w:asciiTheme="majorHAnsi" w:hAnsiTheme="majorHAnsi" w:cs="Gill Sans"/>
          <w:sz w:val="22"/>
          <w:szCs w:val="22"/>
        </w:rPr>
        <w:t xml:space="preserve">ai propri clienti la possibilità di pagare con </w:t>
      </w:r>
      <w:r w:rsidR="00A7406C">
        <w:rPr>
          <w:rFonts w:asciiTheme="majorHAnsi" w:hAnsiTheme="majorHAnsi" w:cs="Gill Sans"/>
          <w:sz w:val="22"/>
          <w:szCs w:val="22"/>
        </w:rPr>
        <w:t xml:space="preserve">Amazon Pay, </w:t>
      </w:r>
      <w:r>
        <w:rPr>
          <w:rFonts w:asciiTheme="majorHAnsi" w:hAnsiTheme="majorHAnsi" w:cs="Gill Sans"/>
          <w:sz w:val="22"/>
          <w:szCs w:val="22"/>
        </w:rPr>
        <w:t xml:space="preserve">integrando così le altre modalità di pagamento offerte da XPay, ossia </w:t>
      </w:r>
      <w:r w:rsidRPr="00D1118E">
        <w:rPr>
          <w:rFonts w:asciiTheme="majorHAnsi" w:hAnsiTheme="majorHAnsi" w:cs="Gill Sans"/>
          <w:sz w:val="22"/>
          <w:szCs w:val="22"/>
        </w:rPr>
        <w:t xml:space="preserve">tutti i principali circuiti internazionali, </w:t>
      </w:r>
      <w:r w:rsidR="00560AFA" w:rsidRPr="00E151A6">
        <w:rPr>
          <w:rFonts w:asciiTheme="majorHAnsi" w:hAnsiTheme="majorHAnsi" w:cs="Gill Sans"/>
          <w:sz w:val="22"/>
          <w:szCs w:val="22"/>
        </w:rPr>
        <w:t xml:space="preserve">wallet digitali </w:t>
      </w:r>
      <w:r w:rsidRPr="00E151A6">
        <w:rPr>
          <w:rFonts w:asciiTheme="majorHAnsi" w:hAnsiTheme="majorHAnsi" w:cs="Gill Sans"/>
          <w:sz w:val="22"/>
          <w:szCs w:val="22"/>
        </w:rPr>
        <w:t>e</w:t>
      </w:r>
      <w:r w:rsidRPr="00D1118E">
        <w:rPr>
          <w:rFonts w:asciiTheme="majorHAnsi" w:hAnsiTheme="majorHAnsi" w:cs="Gill Sans"/>
          <w:sz w:val="22"/>
          <w:szCs w:val="22"/>
        </w:rPr>
        <w:t xml:space="preserve"> </w:t>
      </w:r>
      <w:r>
        <w:rPr>
          <w:rFonts w:asciiTheme="majorHAnsi" w:hAnsiTheme="majorHAnsi" w:cs="Gill Sans"/>
          <w:sz w:val="22"/>
          <w:szCs w:val="22"/>
        </w:rPr>
        <w:t xml:space="preserve">il </w:t>
      </w:r>
      <w:r w:rsidRPr="00D1118E">
        <w:rPr>
          <w:rFonts w:asciiTheme="majorHAnsi" w:hAnsiTheme="majorHAnsi" w:cs="Gill Sans"/>
          <w:sz w:val="22"/>
          <w:szCs w:val="22"/>
        </w:rPr>
        <w:t xml:space="preserve">bonifico diretto </w:t>
      </w:r>
      <w:r>
        <w:rPr>
          <w:rFonts w:asciiTheme="majorHAnsi" w:hAnsiTheme="majorHAnsi" w:cs="Gill Sans"/>
          <w:sz w:val="22"/>
          <w:szCs w:val="22"/>
        </w:rPr>
        <w:t>(grazie all’accordo con Klarna).</w:t>
      </w:r>
    </w:p>
    <w:p w14:paraId="2896D353" w14:textId="13365E73" w:rsidR="00540443" w:rsidRDefault="00540443" w:rsidP="00540443">
      <w:pPr>
        <w:spacing w:after="150"/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Per</w:t>
      </w:r>
      <w:r w:rsidRPr="00CA2587">
        <w:rPr>
          <w:rFonts w:asciiTheme="majorHAnsi" w:hAnsiTheme="majorHAnsi" w:cs="Gill Sans"/>
          <w:sz w:val="22"/>
          <w:szCs w:val="22"/>
        </w:rPr>
        <w:t xml:space="preserve"> pagare prodotti e servizi </w:t>
      </w:r>
      <w:r>
        <w:rPr>
          <w:rFonts w:asciiTheme="majorHAnsi" w:hAnsiTheme="majorHAnsi" w:cs="Gill Sans"/>
          <w:sz w:val="22"/>
          <w:szCs w:val="22"/>
        </w:rPr>
        <w:t xml:space="preserve">con Amazon Pay è sufficiente </w:t>
      </w:r>
      <w:r w:rsidRPr="00CA2587">
        <w:rPr>
          <w:rFonts w:asciiTheme="majorHAnsi" w:hAnsiTheme="majorHAnsi" w:cs="Gill Sans"/>
          <w:sz w:val="22"/>
          <w:szCs w:val="22"/>
        </w:rPr>
        <w:t>inserire username e password Amazon sul sito dell’eserc</w:t>
      </w:r>
      <w:r>
        <w:rPr>
          <w:rFonts w:asciiTheme="majorHAnsi" w:hAnsiTheme="majorHAnsi" w:cs="Gill Sans"/>
          <w:sz w:val="22"/>
          <w:szCs w:val="22"/>
        </w:rPr>
        <w:t>ente e la transazione viene completata</w:t>
      </w:r>
      <w:r w:rsidRPr="00CA2587">
        <w:rPr>
          <w:rFonts w:asciiTheme="majorHAnsi" w:hAnsiTheme="majorHAnsi" w:cs="Gill Sans"/>
          <w:sz w:val="22"/>
          <w:szCs w:val="22"/>
        </w:rPr>
        <w:t xml:space="preserve"> in totale sicurezza, utilizzando le informazioni di pagamento e spedizione recuperate automaticamente dall’account del cliente.</w:t>
      </w:r>
      <w:r>
        <w:rPr>
          <w:rFonts w:asciiTheme="majorHAnsi" w:hAnsiTheme="majorHAnsi" w:cs="Gill Sans"/>
          <w:sz w:val="22"/>
          <w:szCs w:val="22"/>
        </w:rPr>
        <w:t xml:space="preserve"> Sono oltre 3</w:t>
      </w:r>
      <w:r w:rsidR="008B2378">
        <w:rPr>
          <w:rFonts w:asciiTheme="majorHAnsi" w:hAnsiTheme="majorHAnsi" w:cs="Gill Sans"/>
          <w:sz w:val="22"/>
          <w:szCs w:val="22"/>
        </w:rPr>
        <w:t>8</w:t>
      </w:r>
      <w:r>
        <w:rPr>
          <w:rFonts w:asciiTheme="majorHAnsi" w:hAnsiTheme="majorHAnsi" w:cs="Gill Sans"/>
          <w:sz w:val="22"/>
          <w:szCs w:val="22"/>
        </w:rPr>
        <w:t xml:space="preserve"> milioni, provenienti da 17</w:t>
      </w:r>
      <w:r w:rsidR="008B2378">
        <w:rPr>
          <w:rFonts w:asciiTheme="majorHAnsi" w:hAnsiTheme="majorHAnsi" w:cs="Gill Sans"/>
          <w:sz w:val="22"/>
          <w:szCs w:val="22"/>
        </w:rPr>
        <w:t>5</w:t>
      </w:r>
      <w:r>
        <w:rPr>
          <w:rFonts w:asciiTheme="majorHAnsi" w:hAnsiTheme="majorHAnsi" w:cs="Gill Sans"/>
          <w:sz w:val="22"/>
          <w:szCs w:val="22"/>
        </w:rPr>
        <w:t xml:space="preserve"> Paesi, gli utenti che utilizzano Amazon Pay: l’integrazione di questo sistema di pagamento in XPay, quindi, amplia significativamente il potenziale bacino di clienti degli esercenti.</w:t>
      </w:r>
      <w:r w:rsidR="00337BF5">
        <w:rPr>
          <w:rFonts w:asciiTheme="majorHAnsi" w:hAnsiTheme="majorHAnsi" w:cs="Gill Sans"/>
          <w:sz w:val="22"/>
          <w:szCs w:val="22"/>
        </w:rPr>
        <w:t xml:space="preserve"> </w:t>
      </w:r>
    </w:p>
    <w:p w14:paraId="01D8D152" w14:textId="27D20DB0" w:rsidR="00337BF5" w:rsidRPr="00CA2587" w:rsidRDefault="00337BF5" w:rsidP="00540443">
      <w:pPr>
        <w:spacing w:after="150"/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I merchant, inoltre, scegliendo XPay si garantiscono una maggiore facilità e velocità di integrazione di Amazon Pay nella propria piattaforma di ecommerce. XPay, in’unica soluzione, permette di gestire in modo uniforme tutti i metodi di pagamento (dai più tradizionali basati su carta a più innovativi come Amazon Pay) con un unico back office integrato.</w:t>
      </w:r>
    </w:p>
    <w:p w14:paraId="14BAFA91" w14:textId="3B9EB0B2" w:rsidR="00E151A6" w:rsidRDefault="00E151A6" w:rsidP="00E151A6">
      <w:pPr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 xml:space="preserve">L’accordo con Amazon </w:t>
      </w:r>
      <w:r>
        <w:rPr>
          <w:rFonts w:asciiTheme="majorHAnsi" w:hAnsiTheme="majorHAnsi" w:cs="Gill Sans"/>
          <w:sz w:val="22"/>
          <w:szCs w:val="22"/>
        </w:rPr>
        <w:t xml:space="preserve">Payments </w:t>
      </w:r>
      <w:bookmarkStart w:id="0" w:name="_GoBack"/>
      <w:bookmarkEnd w:id="0"/>
      <w:r>
        <w:rPr>
          <w:rFonts w:asciiTheme="majorHAnsi" w:hAnsiTheme="majorHAnsi" w:cs="Gill Sans"/>
          <w:sz w:val="22"/>
          <w:szCs w:val="22"/>
        </w:rPr>
        <w:t xml:space="preserve">permette a Nexi di offrire ai merchant un ulteriore strumento per sfruttare le opportunità offerte dal commerco elettronico che, secondo i dati diffusi oggi da Netcomm, </w:t>
      </w:r>
      <w:r w:rsidRPr="00893CE0">
        <w:rPr>
          <w:rFonts w:asciiTheme="majorHAnsi" w:hAnsiTheme="majorHAnsi" w:cs="Gill Sans"/>
          <w:b/>
          <w:sz w:val="22"/>
          <w:szCs w:val="22"/>
        </w:rPr>
        <w:t xml:space="preserve">nel 2017 ha </w:t>
      </w:r>
      <w:r w:rsidRPr="00680F55">
        <w:rPr>
          <w:rFonts w:asciiTheme="majorHAnsi" w:hAnsiTheme="majorHAnsi" w:cs="Gill Sans"/>
          <w:b/>
          <w:i/>
          <w:sz w:val="22"/>
          <w:szCs w:val="22"/>
        </w:rPr>
        <w:t>raggiunto un valore di 23,4 miliardi di euro</w:t>
      </w:r>
      <w:r w:rsidRPr="00680F55">
        <w:rPr>
          <w:rFonts w:asciiTheme="majorHAnsi" w:hAnsiTheme="majorHAnsi" w:cs="Gill Sans"/>
          <w:i/>
          <w:sz w:val="22"/>
          <w:szCs w:val="22"/>
        </w:rPr>
        <w:t xml:space="preserve"> solo in Italia con una </w:t>
      </w:r>
      <w:r w:rsidRPr="00680F55">
        <w:rPr>
          <w:rFonts w:asciiTheme="majorHAnsi" w:hAnsiTheme="majorHAnsi" w:cs="Gill Sans"/>
          <w:b/>
          <w:i/>
          <w:sz w:val="22"/>
          <w:szCs w:val="22"/>
        </w:rPr>
        <w:t>crescita del 16%</w:t>
      </w:r>
      <w:r w:rsidRPr="00680F55">
        <w:rPr>
          <w:rFonts w:asciiTheme="majorHAnsi" w:hAnsiTheme="majorHAnsi" w:cs="Gill Sans"/>
          <w:i/>
          <w:sz w:val="22"/>
          <w:szCs w:val="22"/>
        </w:rPr>
        <w:t xml:space="preserve"> rispetto all’anno precedente.</w:t>
      </w:r>
      <w:r>
        <w:rPr>
          <w:rFonts w:asciiTheme="majorHAnsi" w:hAnsiTheme="majorHAnsi" w:cs="Gill Sans"/>
          <w:sz w:val="22"/>
          <w:szCs w:val="22"/>
        </w:rPr>
        <w:t xml:space="preserve">  </w:t>
      </w:r>
    </w:p>
    <w:p w14:paraId="642B3A88" w14:textId="77777777" w:rsidR="00E151A6" w:rsidRDefault="00E151A6" w:rsidP="00E151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</w:p>
    <w:p w14:paraId="69715389" w14:textId="77777777" w:rsidR="00E151A6" w:rsidRPr="00CD4BD3" w:rsidRDefault="00E151A6" w:rsidP="00E151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i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“</w:t>
      </w:r>
      <w:r>
        <w:rPr>
          <w:rFonts w:asciiTheme="majorHAnsi" w:hAnsiTheme="majorHAnsi" w:cs="Gill Sans"/>
          <w:i/>
          <w:sz w:val="22"/>
          <w:szCs w:val="22"/>
        </w:rPr>
        <w:t xml:space="preserve">Il valore aggiunto di XPay è dato dalla possibilità di integrarlo con tutte le piattaforme di ecommerce e dal fatto che, in un’unica soluzione altamente personalizzabile, permette di offrire tutte le principali modalità di pagamento online. L’integrazione di Amazon Pay nel nostro gateway – che in Italia è già stato scelto da 18.000 esercenti, con una crescita del 20% rispeto al 2016 -  è un grande vantaggio per gli esercenti che, da oggi, possono garantire ai propri clienti un ulteriore mezzo di pagamento, comodo, sicuro e diffuso in tutto il mondo” </w:t>
      </w:r>
      <w:r w:rsidRPr="008F2CB4">
        <w:rPr>
          <w:rFonts w:asciiTheme="majorHAnsi" w:hAnsiTheme="majorHAnsi" w:cs="Gill Sans"/>
          <w:sz w:val="22"/>
          <w:szCs w:val="22"/>
        </w:rPr>
        <w:t>ha commentato Dirk Pinamonti, Head of ecommerce di Nexi.</w:t>
      </w:r>
    </w:p>
    <w:p w14:paraId="251DA99E" w14:textId="77777777" w:rsidR="00CD4BD3" w:rsidRDefault="00CD4BD3" w:rsidP="00B13E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</w:p>
    <w:p w14:paraId="22ED4C46" w14:textId="77777777" w:rsidR="00337BF5" w:rsidRDefault="00337BF5" w:rsidP="00B13E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</w:p>
    <w:p w14:paraId="03F21DA6" w14:textId="77777777" w:rsidR="001D6161" w:rsidRDefault="001D6161" w:rsidP="00D3331F">
      <w:pPr>
        <w:jc w:val="both"/>
        <w:rPr>
          <w:rStyle w:val="translation"/>
          <w:rFonts w:asciiTheme="majorHAnsi" w:eastAsia="Times New Roman" w:hAnsiTheme="majorHAnsi" w:cs="Times New Roman"/>
          <w:b/>
          <w:i/>
          <w:u w:val="single"/>
        </w:rPr>
      </w:pPr>
    </w:p>
    <w:p w14:paraId="1A20407F" w14:textId="65619330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r w:rsidRPr="00D3331F"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t xml:space="preserve">Nexi </w:t>
      </w:r>
      <w:r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br/>
      </w:r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Nexi è la PayTech delle banche, l’azienda nata dall’esperienza di ICBPI e CartaSi che ha l’obiettivo di costruire il futuro dei pagamenti digitali in Italia, in partnership con le Banche del nostro Paese.</w:t>
      </w:r>
    </w:p>
    <w:p w14:paraId="62571875" w14:textId="77777777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Nexi è leader indiscusso del mercato: gestisce, in diverse modalità, 27 mln di carte di pagamento e 2,7 mld di transazioni ogni anno e può contare su 733 mila punti vendita convenzionati in Italia, 120 miliardi di euro transati, 15 mila ATM su tutto il territorio nazionale e 400 mila imprese che utilizzano i servizi Corporate Banking Interbancario. </w:t>
      </w:r>
    </w:p>
    <w:p w14:paraId="272A3C61" w14:textId="77777777" w:rsidR="00D3331F" w:rsidRDefault="00D3331F" w:rsidP="00026B4A">
      <w:pPr>
        <w:rPr>
          <w:rFonts w:asciiTheme="majorHAnsi" w:hAnsiTheme="majorHAnsi"/>
          <w:b/>
          <w:i/>
          <w:sz w:val="22"/>
          <w:szCs w:val="22"/>
        </w:rPr>
      </w:pPr>
    </w:p>
    <w:p w14:paraId="775150F9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25AD6DC7" w14:textId="77777777" w:rsidR="00E151A6" w:rsidRDefault="00E151A6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</w:p>
    <w:p w14:paraId="095930D5" w14:textId="77777777" w:rsidR="00E151A6" w:rsidRDefault="00E151A6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</w:p>
    <w:p w14:paraId="3DB2FE12" w14:textId="77777777" w:rsidR="00E151A6" w:rsidRDefault="00E151A6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</w:p>
    <w:p w14:paraId="16C9D634" w14:textId="77777777" w:rsidR="00E151A6" w:rsidRDefault="00E151A6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</w:p>
    <w:p w14:paraId="059C5A5F" w14:textId="6CF8579E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  <w:r w:rsidRPr="00F83F0A">
        <w:rPr>
          <w:rFonts w:asciiTheme="majorHAnsi" w:hAnsiTheme="majorHAnsi" w:cs="Gill Sans"/>
          <w:b/>
          <w:sz w:val="22"/>
          <w:szCs w:val="22"/>
        </w:rPr>
        <w:t>Contatti</w:t>
      </w:r>
    </w:p>
    <w:p w14:paraId="5A439001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50AE0E1B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  <w:r w:rsidRPr="00F83F0A">
        <w:rPr>
          <w:rFonts w:asciiTheme="majorHAnsi" w:hAnsiTheme="majorHAnsi" w:cs="Gill Sans"/>
          <w:b/>
          <w:sz w:val="22"/>
          <w:szCs w:val="22"/>
        </w:rPr>
        <w:t>Nexi - External Communication &amp; Media Relations</w:t>
      </w:r>
    </w:p>
    <w:p w14:paraId="405FF9DA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Daniele de Sanctis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  <w:t>Matteo Abbondanza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</w:p>
    <w:p w14:paraId="3D00E415" w14:textId="77777777" w:rsidR="00F83F0A" w:rsidRPr="00F83F0A" w:rsidRDefault="00304EB6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hyperlink r:id="rId7" w:history="1">
        <w:r w:rsidR="00F83F0A" w:rsidRPr="00F83F0A">
          <w:rPr>
            <w:rFonts w:asciiTheme="majorHAnsi" w:hAnsiTheme="majorHAnsi" w:cs="Gill Sans"/>
            <w:sz w:val="22"/>
            <w:szCs w:val="22"/>
          </w:rPr>
          <w:t>daniele.desanctis@nexi.it</w:t>
        </w:r>
      </w:hyperlink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  <w:t>matteo.abbondanza@nexi.it</w:t>
      </w:r>
      <w:r w:rsidR="00F83F0A" w:rsidRPr="00F83F0A">
        <w:rPr>
          <w:rFonts w:asciiTheme="majorHAnsi" w:hAnsiTheme="majorHAnsi" w:cs="Gill Sans"/>
          <w:sz w:val="22"/>
          <w:szCs w:val="22"/>
        </w:rPr>
        <w:br/>
        <w:t>Mobile: +39 346/015.1000</w:t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  <w:t>Mobile: +39 348/406.8858</w:t>
      </w:r>
    </w:p>
    <w:p w14:paraId="6041F45B" w14:textId="6BD6954D" w:rsidR="00F83F0A" w:rsidRPr="00CA2587" w:rsidRDefault="00F83F0A" w:rsidP="00CA2587">
      <w:pPr>
        <w:spacing w:line="260" w:lineRule="exact"/>
        <w:jc w:val="both"/>
        <w:rPr>
          <w:rStyle w:val="translation"/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Direct: +39 02/3488.4491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  <w:t>Direct: +39 02/3488.2202</w:t>
      </w:r>
    </w:p>
    <w:sectPr w:rsidR="00F83F0A" w:rsidRPr="00CA2587" w:rsidSect="008E3F1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792D2" w16cid:durableId="1EA059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7599D" w14:textId="77777777" w:rsidR="00304EB6" w:rsidRDefault="00304EB6" w:rsidP="007E0EC2">
      <w:r>
        <w:separator/>
      </w:r>
    </w:p>
  </w:endnote>
  <w:endnote w:type="continuationSeparator" w:id="0">
    <w:p w14:paraId="0534BC89" w14:textId="77777777" w:rsidR="00304EB6" w:rsidRDefault="00304EB6" w:rsidP="007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C7EF" w14:textId="77777777" w:rsidR="00304EB6" w:rsidRDefault="00304EB6" w:rsidP="007E0EC2">
      <w:r>
        <w:separator/>
      </w:r>
    </w:p>
  </w:footnote>
  <w:footnote w:type="continuationSeparator" w:id="0">
    <w:p w14:paraId="6EFC4B64" w14:textId="77777777" w:rsidR="00304EB6" w:rsidRDefault="00304EB6" w:rsidP="007E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6D91" w14:textId="06CA6F6F" w:rsidR="00484ABB" w:rsidRDefault="00C33B5C" w:rsidP="006B3FA9">
    <w:pPr>
      <w:pStyle w:val="Intestazione"/>
      <w:tabs>
        <w:tab w:val="left" w:pos="181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6FE7A" wp14:editId="5E34084A">
          <wp:simplePos x="0" y="0"/>
          <wp:positionH relativeFrom="margin">
            <wp:posOffset>194310</wp:posOffset>
          </wp:positionH>
          <wp:positionV relativeFrom="margin">
            <wp:posOffset>-357964</wp:posOffset>
          </wp:positionV>
          <wp:extent cx="1225685" cy="39702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8-05-11 alle 14.54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85" cy="39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ABB">
      <w:tab/>
    </w:r>
    <w:r w:rsidR="00484A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F81"/>
    <w:multiLevelType w:val="hybridMultilevel"/>
    <w:tmpl w:val="B8CAA222"/>
    <w:lvl w:ilvl="0" w:tplc="F754F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7DBA"/>
    <w:multiLevelType w:val="hybridMultilevel"/>
    <w:tmpl w:val="1CDA50F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98A1C59"/>
    <w:multiLevelType w:val="hybridMultilevel"/>
    <w:tmpl w:val="72824F02"/>
    <w:lvl w:ilvl="0" w:tplc="0B007F2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B335CB5"/>
    <w:multiLevelType w:val="multilevel"/>
    <w:tmpl w:val="974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861C8"/>
    <w:multiLevelType w:val="hybridMultilevel"/>
    <w:tmpl w:val="0746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2"/>
    <w:rsid w:val="000001BE"/>
    <w:rsid w:val="00002396"/>
    <w:rsid w:val="00002880"/>
    <w:rsid w:val="000034EA"/>
    <w:rsid w:val="00012F80"/>
    <w:rsid w:val="00017C49"/>
    <w:rsid w:val="00024AEA"/>
    <w:rsid w:val="0002501B"/>
    <w:rsid w:val="000269E4"/>
    <w:rsid w:val="00026B4A"/>
    <w:rsid w:val="00027BFA"/>
    <w:rsid w:val="00033F0A"/>
    <w:rsid w:val="00041738"/>
    <w:rsid w:val="0004718D"/>
    <w:rsid w:val="0005203F"/>
    <w:rsid w:val="00052A65"/>
    <w:rsid w:val="00067683"/>
    <w:rsid w:val="00071D0F"/>
    <w:rsid w:val="00075460"/>
    <w:rsid w:val="00075E5D"/>
    <w:rsid w:val="00076042"/>
    <w:rsid w:val="00084A65"/>
    <w:rsid w:val="00084FBF"/>
    <w:rsid w:val="00085A3A"/>
    <w:rsid w:val="0009490F"/>
    <w:rsid w:val="000A14B2"/>
    <w:rsid w:val="000A5A9D"/>
    <w:rsid w:val="000B2574"/>
    <w:rsid w:val="000B3243"/>
    <w:rsid w:val="000C066B"/>
    <w:rsid w:val="000C64F7"/>
    <w:rsid w:val="000E09C3"/>
    <w:rsid w:val="000E2321"/>
    <w:rsid w:val="000E2B2C"/>
    <w:rsid w:val="000E71F3"/>
    <w:rsid w:val="000F14D7"/>
    <w:rsid w:val="000F5318"/>
    <w:rsid w:val="000F5F62"/>
    <w:rsid w:val="000F6CC4"/>
    <w:rsid w:val="00111038"/>
    <w:rsid w:val="0013668D"/>
    <w:rsid w:val="00140B2D"/>
    <w:rsid w:val="00152802"/>
    <w:rsid w:val="001529F5"/>
    <w:rsid w:val="00160337"/>
    <w:rsid w:val="00163481"/>
    <w:rsid w:val="00185BB1"/>
    <w:rsid w:val="001A2E04"/>
    <w:rsid w:val="001A3C7B"/>
    <w:rsid w:val="001B542B"/>
    <w:rsid w:val="001D19FD"/>
    <w:rsid w:val="001D2A43"/>
    <w:rsid w:val="001D6161"/>
    <w:rsid w:val="001E245D"/>
    <w:rsid w:val="001E5385"/>
    <w:rsid w:val="001E564E"/>
    <w:rsid w:val="001F58CE"/>
    <w:rsid w:val="00203368"/>
    <w:rsid w:val="00213C41"/>
    <w:rsid w:val="002372E0"/>
    <w:rsid w:val="00244729"/>
    <w:rsid w:val="002543CD"/>
    <w:rsid w:val="00255413"/>
    <w:rsid w:val="00256AEC"/>
    <w:rsid w:val="0026694C"/>
    <w:rsid w:val="00273E61"/>
    <w:rsid w:val="00280B4E"/>
    <w:rsid w:val="002906BC"/>
    <w:rsid w:val="00290DD1"/>
    <w:rsid w:val="002968C1"/>
    <w:rsid w:val="002A003C"/>
    <w:rsid w:val="002A3903"/>
    <w:rsid w:val="002A5E50"/>
    <w:rsid w:val="002B0B7C"/>
    <w:rsid w:val="002B28CC"/>
    <w:rsid w:val="002C3E50"/>
    <w:rsid w:val="002E0631"/>
    <w:rsid w:val="002E2C52"/>
    <w:rsid w:val="002E6EB6"/>
    <w:rsid w:val="002F61C8"/>
    <w:rsid w:val="002F7C7B"/>
    <w:rsid w:val="00304EB6"/>
    <w:rsid w:val="00307891"/>
    <w:rsid w:val="00315B0B"/>
    <w:rsid w:val="00316EFD"/>
    <w:rsid w:val="00320202"/>
    <w:rsid w:val="003260C1"/>
    <w:rsid w:val="00336273"/>
    <w:rsid w:val="00337BF5"/>
    <w:rsid w:val="00344061"/>
    <w:rsid w:val="00346A9B"/>
    <w:rsid w:val="00346B3D"/>
    <w:rsid w:val="00353BA3"/>
    <w:rsid w:val="003569F2"/>
    <w:rsid w:val="00357419"/>
    <w:rsid w:val="003674BA"/>
    <w:rsid w:val="0037069B"/>
    <w:rsid w:val="0037340D"/>
    <w:rsid w:val="00384794"/>
    <w:rsid w:val="0038551B"/>
    <w:rsid w:val="003915D5"/>
    <w:rsid w:val="00392656"/>
    <w:rsid w:val="003972F5"/>
    <w:rsid w:val="003A0930"/>
    <w:rsid w:val="003B0751"/>
    <w:rsid w:val="003B33C1"/>
    <w:rsid w:val="003C023A"/>
    <w:rsid w:val="003E2D2D"/>
    <w:rsid w:val="003E2DEB"/>
    <w:rsid w:val="003E4733"/>
    <w:rsid w:val="003F50F7"/>
    <w:rsid w:val="004045C6"/>
    <w:rsid w:val="004074ED"/>
    <w:rsid w:val="004115DD"/>
    <w:rsid w:val="004145EE"/>
    <w:rsid w:val="004253DA"/>
    <w:rsid w:val="00427B64"/>
    <w:rsid w:val="00434F79"/>
    <w:rsid w:val="0044364D"/>
    <w:rsid w:val="00443EA0"/>
    <w:rsid w:val="00445EBD"/>
    <w:rsid w:val="00455FF7"/>
    <w:rsid w:val="00460447"/>
    <w:rsid w:val="00465763"/>
    <w:rsid w:val="00484ABB"/>
    <w:rsid w:val="00487484"/>
    <w:rsid w:val="00487805"/>
    <w:rsid w:val="00487BF7"/>
    <w:rsid w:val="004A4DAC"/>
    <w:rsid w:val="004B0BED"/>
    <w:rsid w:val="004B4190"/>
    <w:rsid w:val="004D4AA9"/>
    <w:rsid w:val="004E0243"/>
    <w:rsid w:val="005019D0"/>
    <w:rsid w:val="00503396"/>
    <w:rsid w:val="005034B5"/>
    <w:rsid w:val="00503BAC"/>
    <w:rsid w:val="0050454A"/>
    <w:rsid w:val="0051029B"/>
    <w:rsid w:val="0052190C"/>
    <w:rsid w:val="005243C2"/>
    <w:rsid w:val="0052444D"/>
    <w:rsid w:val="005312DF"/>
    <w:rsid w:val="005333A3"/>
    <w:rsid w:val="00540443"/>
    <w:rsid w:val="00551AB5"/>
    <w:rsid w:val="00560AFA"/>
    <w:rsid w:val="00562715"/>
    <w:rsid w:val="00566089"/>
    <w:rsid w:val="00577B08"/>
    <w:rsid w:val="0058122E"/>
    <w:rsid w:val="00581B21"/>
    <w:rsid w:val="00585DB7"/>
    <w:rsid w:val="00586A61"/>
    <w:rsid w:val="0058727D"/>
    <w:rsid w:val="00590758"/>
    <w:rsid w:val="00592DFF"/>
    <w:rsid w:val="005A0E67"/>
    <w:rsid w:val="005A27B7"/>
    <w:rsid w:val="005A4027"/>
    <w:rsid w:val="005A4C5A"/>
    <w:rsid w:val="005B5640"/>
    <w:rsid w:val="005B7A41"/>
    <w:rsid w:val="005D5179"/>
    <w:rsid w:val="005E1AFA"/>
    <w:rsid w:val="005E2479"/>
    <w:rsid w:val="005F00F0"/>
    <w:rsid w:val="005F29B0"/>
    <w:rsid w:val="005F2FB1"/>
    <w:rsid w:val="006025A0"/>
    <w:rsid w:val="006066FA"/>
    <w:rsid w:val="006140B9"/>
    <w:rsid w:val="0062016A"/>
    <w:rsid w:val="00622908"/>
    <w:rsid w:val="00622FE3"/>
    <w:rsid w:val="00630B55"/>
    <w:rsid w:val="00633FF4"/>
    <w:rsid w:val="006365E9"/>
    <w:rsid w:val="006437B4"/>
    <w:rsid w:val="00645141"/>
    <w:rsid w:val="00645395"/>
    <w:rsid w:val="00660926"/>
    <w:rsid w:val="00665D8B"/>
    <w:rsid w:val="00672B9F"/>
    <w:rsid w:val="00677EC9"/>
    <w:rsid w:val="006A0901"/>
    <w:rsid w:val="006A5617"/>
    <w:rsid w:val="006A5DA2"/>
    <w:rsid w:val="006A7FDA"/>
    <w:rsid w:val="006B3FA9"/>
    <w:rsid w:val="006B563B"/>
    <w:rsid w:val="006B57B6"/>
    <w:rsid w:val="006B6971"/>
    <w:rsid w:val="006B7050"/>
    <w:rsid w:val="006C3679"/>
    <w:rsid w:val="006C57E6"/>
    <w:rsid w:val="006E2814"/>
    <w:rsid w:val="006F5421"/>
    <w:rsid w:val="00700C9C"/>
    <w:rsid w:val="007018C7"/>
    <w:rsid w:val="00701943"/>
    <w:rsid w:val="00701BC6"/>
    <w:rsid w:val="007073BB"/>
    <w:rsid w:val="007115A5"/>
    <w:rsid w:val="00715C08"/>
    <w:rsid w:val="007201C7"/>
    <w:rsid w:val="00720333"/>
    <w:rsid w:val="00720ECF"/>
    <w:rsid w:val="007222C2"/>
    <w:rsid w:val="00724AC2"/>
    <w:rsid w:val="00725373"/>
    <w:rsid w:val="0072565D"/>
    <w:rsid w:val="00727038"/>
    <w:rsid w:val="007309EF"/>
    <w:rsid w:val="0074456F"/>
    <w:rsid w:val="00751B7D"/>
    <w:rsid w:val="0075477E"/>
    <w:rsid w:val="00757F87"/>
    <w:rsid w:val="0077213A"/>
    <w:rsid w:val="00772C9A"/>
    <w:rsid w:val="007750D7"/>
    <w:rsid w:val="00775B70"/>
    <w:rsid w:val="00775CD3"/>
    <w:rsid w:val="00786613"/>
    <w:rsid w:val="007A08B0"/>
    <w:rsid w:val="007A283B"/>
    <w:rsid w:val="007A383B"/>
    <w:rsid w:val="007A3EE1"/>
    <w:rsid w:val="007A76AE"/>
    <w:rsid w:val="007B3421"/>
    <w:rsid w:val="007B45BE"/>
    <w:rsid w:val="007B4716"/>
    <w:rsid w:val="007C33F7"/>
    <w:rsid w:val="007D4C3A"/>
    <w:rsid w:val="007E0EC2"/>
    <w:rsid w:val="007E3CC4"/>
    <w:rsid w:val="007F0C47"/>
    <w:rsid w:val="007F0EE8"/>
    <w:rsid w:val="0081439B"/>
    <w:rsid w:val="00815627"/>
    <w:rsid w:val="00816016"/>
    <w:rsid w:val="00817329"/>
    <w:rsid w:val="0082632B"/>
    <w:rsid w:val="00832F1A"/>
    <w:rsid w:val="008347D4"/>
    <w:rsid w:val="00843698"/>
    <w:rsid w:val="008459DC"/>
    <w:rsid w:val="0085527B"/>
    <w:rsid w:val="00857368"/>
    <w:rsid w:val="0088076A"/>
    <w:rsid w:val="008848FF"/>
    <w:rsid w:val="00886EAA"/>
    <w:rsid w:val="00892D38"/>
    <w:rsid w:val="00893CE0"/>
    <w:rsid w:val="00894B2E"/>
    <w:rsid w:val="008B2378"/>
    <w:rsid w:val="008B2A72"/>
    <w:rsid w:val="008B3245"/>
    <w:rsid w:val="008C5FDB"/>
    <w:rsid w:val="008D7926"/>
    <w:rsid w:val="008E0B82"/>
    <w:rsid w:val="008E1FCF"/>
    <w:rsid w:val="008E3025"/>
    <w:rsid w:val="008E3F12"/>
    <w:rsid w:val="008E4554"/>
    <w:rsid w:val="008F1AD5"/>
    <w:rsid w:val="008F27CE"/>
    <w:rsid w:val="008F2CB4"/>
    <w:rsid w:val="008F2F10"/>
    <w:rsid w:val="00900FA3"/>
    <w:rsid w:val="00903B21"/>
    <w:rsid w:val="0090459E"/>
    <w:rsid w:val="00905273"/>
    <w:rsid w:val="00906982"/>
    <w:rsid w:val="00907BCE"/>
    <w:rsid w:val="00910D6E"/>
    <w:rsid w:val="00911666"/>
    <w:rsid w:val="00920737"/>
    <w:rsid w:val="00922E3F"/>
    <w:rsid w:val="009242DB"/>
    <w:rsid w:val="00930EEE"/>
    <w:rsid w:val="00932D03"/>
    <w:rsid w:val="0093480E"/>
    <w:rsid w:val="009357CD"/>
    <w:rsid w:val="00943D01"/>
    <w:rsid w:val="0095309C"/>
    <w:rsid w:val="00954FA6"/>
    <w:rsid w:val="00957F0A"/>
    <w:rsid w:val="009623A2"/>
    <w:rsid w:val="009627EF"/>
    <w:rsid w:val="00966057"/>
    <w:rsid w:val="00972456"/>
    <w:rsid w:val="00972CDB"/>
    <w:rsid w:val="0097608E"/>
    <w:rsid w:val="00984DE9"/>
    <w:rsid w:val="00990B31"/>
    <w:rsid w:val="00994BAE"/>
    <w:rsid w:val="00995B1F"/>
    <w:rsid w:val="00997ACA"/>
    <w:rsid w:val="00997BF9"/>
    <w:rsid w:val="009A0478"/>
    <w:rsid w:val="009B1038"/>
    <w:rsid w:val="009B32F5"/>
    <w:rsid w:val="009B34F4"/>
    <w:rsid w:val="009B3DC7"/>
    <w:rsid w:val="009C5E4C"/>
    <w:rsid w:val="009C7721"/>
    <w:rsid w:val="009C78D6"/>
    <w:rsid w:val="009D4490"/>
    <w:rsid w:val="009E25F6"/>
    <w:rsid w:val="009E308A"/>
    <w:rsid w:val="009E34E4"/>
    <w:rsid w:val="009F1C6A"/>
    <w:rsid w:val="009F3B15"/>
    <w:rsid w:val="009F6CF6"/>
    <w:rsid w:val="009F73C0"/>
    <w:rsid w:val="00A00569"/>
    <w:rsid w:val="00A04C84"/>
    <w:rsid w:val="00A05296"/>
    <w:rsid w:val="00A11F0D"/>
    <w:rsid w:val="00A12AD4"/>
    <w:rsid w:val="00A13D4C"/>
    <w:rsid w:val="00A144F9"/>
    <w:rsid w:val="00A235C0"/>
    <w:rsid w:val="00A2739B"/>
    <w:rsid w:val="00A328A2"/>
    <w:rsid w:val="00A35188"/>
    <w:rsid w:val="00A45333"/>
    <w:rsid w:val="00A46E4F"/>
    <w:rsid w:val="00A47D8E"/>
    <w:rsid w:val="00A57BC8"/>
    <w:rsid w:val="00A60892"/>
    <w:rsid w:val="00A71CC4"/>
    <w:rsid w:val="00A7406C"/>
    <w:rsid w:val="00A7521B"/>
    <w:rsid w:val="00A76186"/>
    <w:rsid w:val="00A81A22"/>
    <w:rsid w:val="00A824DA"/>
    <w:rsid w:val="00AA536B"/>
    <w:rsid w:val="00AA7326"/>
    <w:rsid w:val="00AB21F7"/>
    <w:rsid w:val="00AB2AF6"/>
    <w:rsid w:val="00AB65D6"/>
    <w:rsid w:val="00AC0B1E"/>
    <w:rsid w:val="00AC3561"/>
    <w:rsid w:val="00AC6506"/>
    <w:rsid w:val="00AC7845"/>
    <w:rsid w:val="00AE1A67"/>
    <w:rsid w:val="00AE552F"/>
    <w:rsid w:val="00AE7704"/>
    <w:rsid w:val="00AF023E"/>
    <w:rsid w:val="00AF560B"/>
    <w:rsid w:val="00AF74FD"/>
    <w:rsid w:val="00AF7D95"/>
    <w:rsid w:val="00B1051E"/>
    <w:rsid w:val="00B13E06"/>
    <w:rsid w:val="00B20F80"/>
    <w:rsid w:val="00B22672"/>
    <w:rsid w:val="00B232F1"/>
    <w:rsid w:val="00B239E0"/>
    <w:rsid w:val="00B2526F"/>
    <w:rsid w:val="00B262B9"/>
    <w:rsid w:val="00B279C9"/>
    <w:rsid w:val="00B329EA"/>
    <w:rsid w:val="00B37ACB"/>
    <w:rsid w:val="00B37AE7"/>
    <w:rsid w:val="00B37C83"/>
    <w:rsid w:val="00B43968"/>
    <w:rsid w:val="00B47674"/>
    <w:rsid w:val="00B5583D"/>
    <w:rsid w:val="00B6081B"/>
    <w:rsid w:val="00B61CD6"/>
    <w:rsid w:val="00B64918"/>
    <w:rsid w:val="00B66896"/>
    <w:rsid w:val="00B7210D"/>
    <w:rsid w:val="00B739FA"/>
    <w:rsid w:val="00B94964"/>
    <w:rsid w:val="00BA05D3"/>
    <w:rsid w:val="00BB1794"/>
    <w:rsid w:val="00BC3739"/>
    <w:rsid w:val="00BC7CF2"/>
    <w:rsid w:val="00BD36F2"/>
    <w:rsid w:val="00BE0760"/>
    <w:rsid w:val="00BF082C"/>
    <w:rsid w:val="00BF11AC"/>
    <w:rsid w:val="00BF31AB"/>
    <w:rsid w:val="00BF3430"/>
    <w:rsid w:val="00BF36AA"/>
    <w:rsid w:val="00BF654D"/>
    <w:rsid w:val="00BF6F5D"/>
    <w:rsid w:val="00C1084B"/>
    <w:rsid w:val="00C15C9F"/>
    <w:rsid w:val="00C2484B"/>
    <w:rsid w:val="00C261BF"/>
    <w:rsid w:val="00C33B5C"/>
    <w:rsid w:val="00C4183F"/>
    <w:rsid w:val="00C45EFE"/>
    <w:rsid w:val="00C54264"/>
    <w:rsid w:val="00C54AE1"/>
    <w:rsid w:val="00C5669B"/>
    <w:rsid w:val="00C61A6F"/>
    <w:rsid w:val="00C749AE"/>
    <w:rsid w:val="00C750F4"/>
    <w:rsid w:val="00C758CF"/>
    <w:rsid w:val="00C7614F"/>
    <w:rsid w:val="00C76C2C"/>
    <w:rsid w:val="00C82913"/>
    <w:rsid w:val="00C82D68"/>
    <w:rsid w:val="00C93C5F"/>
    <w:rsid w:val="00C95431"/>
    <w:rsid w:val="00CA2587"/>
    <w:rsid w:val="00CA2B86"/>
    <w:rsid w:val="00CA5D49"/>
    <w:rsid w:val="00CB4B8B"/>
    <w:rsid w:val="00CD3DC0"/>
    <w:rsid w:val="00CD4BD3"/>
    <w:rsid w:val="00CD552F"/>
    <w:rsid w:val="00CE10F6"/>
    <w:rsid w:val="00CE287B"/>
    <w:rsid w:val="00CE79DC"/>
    <w:rsid w:val="00D07041"/>
    <w:rsid w:val="00D0721A"/>
    <w:rsid w:val="00D1118E"/>
    <w:rsid w:val="00D13B38"/>
    <w:rsid w:val="00D257A7"/>
    <w:rsid w:val="00D27419"/>
    <w:rsid w:val="00D30627"/>
    <w:rsid w:val="00D3111F"/>
    <w:rsid w:val="00D3331F"/>
    <w:rsid w:val="00D41BC7"/>
    <w:rsid w:val="00D434A2"/>
    <w:rsid w:val="00D46487"/>
    <w:rsid w:val="00D50985"/>
    <w:rsid w:val="00D50E42"/>
    <w:rsid w:val="00D51331"/>
    <w:rsid w:val="00D549B1"/>
    <w:rsid w:val="00D60301"/>
    <w:rsid w:val="00D6036C"/>
    <w:rsid w:val="00D61F80"/>
    <w:rsid w:val="00D75E78"/>
    <w:rsid w:val="00D8002E"/>
    <w:rsid w:val="00D806D8"/>
    <w:rsid w:val="00D90561"/>
    <w:rsid w:val="00DA2734"/>
    <w:rsid w:val="00DB3AEB"/>
    <w:rsid w:val="00DB448B"/>
    <w:rsid w:val="00DB4D0F"/>
    <w:rsid w:val="00DC571E"/>
    <w:rsid w:val="00DD00A3"/>
    <w:rsid w:val="00DD5F71"/>
    <w:rsid w:val="00DE41D8"/>
    <w:rsid w:val="00DF5FCD"/>
    <w:rsid w:val="00E00726"/>
    <w:rsid w:val="00E01CEC"/>
    <w:rsid w:val="00E05A46"/>
    <w:rsid w:val="00E071F6"/>
    <w:rsid w:val="00E13898"/>
    <w:rsid w:val="00E151A6"/>
    <w:rsid w:val="00E1753D"/>
    <w:rsid w:val="00E36771"/>
    <w:rsid w:val="00E42165"/>
    <w:rsid w:val="00E535C6"/>
    <w:rsid w:val="00E6139A"/>
    <w:rsid w:val="00E61DC7"/>
    <w:rsid w:val="00E62B74"/>
    <w:rsid w:val="00E661B3"/>
    <w:rsid w:val="00E67BE8"/>
    <w:rsid w:val="00E8673F"/>
    <w:rsid w:val="00E8719F"/>
    <w:rsid w:val="00E9260A"/>
    <w:rsid w:val="00E96018"/>
    <w:rsid w:val="00EA0D53"/>
    <w:rsid w:val="00EA1BFE"/>
    <w:rsid w:val="00EA6CF2"/>
    <w:rsid w:val="00EB1C30"/>
    <w:rsid w:val="00EB340B"/>
    <w:rsid w:val="00EE38C3"/>
    <w:rsid w:val="00EE70E5"/>
    <w:rsid w:val="00EF6E28"/>
    <w:rsid w:val="00F0075E"/>
    <w:rsid w:val="00F12185"/>
    <w:rsid w:val="00F15EBA"/>
    <w:rsid w:val="00F21AB7"/>
    <w:rsid w:val="00F30E3A"/>
    <w:rsid w:val="00F32DB0"/>
    <w:rsid w:val="00F336ED"/>
    <w:rsid w:val="00F3552B"/>
    <w:rsid w:val="00F36B80"/>
    <w:rsid w:val="00F4071C"/>
    <w:rsid w:val="00F40F2D"/>
    <w:rsid w:val="00F534AF"/>
    <w:rsid w:val="00F56657"/>
    <w:rsid w:val="00F600F6"/>
    <w:rsid w:val="00F6316C"/>
    <w:rsid w:val="00F63DC8"/>
    <w:rsid w:val="00F76781"/>
    <w:rsid w:val="00F809DE"/>
    <w:rsid w:val="00F81143"/>
    <w:rsid w:val="00F83F0A"/>
    <w:rsid w:val="00F85790"/>
    <w:rsid w:val="00F92E1E"/>
    <w:rsid w:val="00F9514A"/>
    <w:rsid w:val="00F97615"/>
    <w:rsid w:val="00FA31A9"/>
    <w:rsid w:val="00FB245C"/>
    <w:rsid w:val="00FC7238"/>
    <w:rsid w:val="00FD2BF2"/>
    <w:rsid w:val="00FD4BCE"/>
    <w:rsid w:val="00FD674F"/>
    <w:rsid w:val="00FE0EC3"/>
    <w:rsid w:val="00FE1519"/>
    <w:rsid w:val="00FE4950"/>
    <w:rsid w:val="00FF040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DF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C02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EC2"/>
  </w:style>
  <w:style w:type="paragraph" w:styleId="Pidipagina">
    <w:name w:val="footer"/>
    <w:basedOn w:val="Normale"/>
    <w:link w:val="Pidipagina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E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C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3D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1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3739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62B7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23A"/>
    <w:rPr>
      <w:rFonts w:ascii="Times" w:hAnsi="Times"/>
      <w:b/>
      <w:bCs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80E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4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d-post-date">
    <w:name w:val="td-post-date"/>
    <w:basedOn w:val="Carpredefinitoparagrafo"/>
    <w:rsid w:val="0093480E"/>
  </w:style>
  <w:style w:type="character" w:customStyle="1" w:styleId="NessunoA">
    <w:name w:val="Nessuno A"/>
    <w:rsid w:val="00290DD1"/>
  </w:style>
  <w:style w:type="paragraph" w:customStyle="1" w:styleId="CorpoA">
    <w:name w:val="Corpo A"/>
    <w:rsid w:val="0090459E"/>
    <w:rPr>
      <w:rFonts w:ascii="Cambria" w:eastAsia="Cambria" w:hAnsi="Cambria" w:cs="Cambria"/>
      <w:color w:val="000000"/>
      <w:u w:color="000000"/>
    </w:rPr>
  </w:style>
  <w:style w:type="paragraph" w:customStyle="1" w:styleId="Normale1">
    <w:name w:val="Normale1"/>
    <w:rsid w:val="0090459E"/>
    <w:rPr>
      <w:rFonts w:ascii="Cambria" w:eastAsia="Cambria" w:hAnsi="Cambria" w:cs="Cambria"/>
      <w:color w:val="000000"/>
      <w:u w:color="000000"/>
    </w:rPr>
  </w:style>
  <w:style w:type="character" w:customStyle="1" w:styleId="Hyperlink0">
    <w:name w:val="Hyperlink.0"/>
    <w:rsid w:val="0090459E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Hyperlink1">
    <w:name w:val="Hyperlink.1"/>
    <w:rsid w:val="0090459E"/>
    <w:rPr>
      <w:sz w:val="22"/>
      <w:szCs w:val="22"/>
      <w:u w:val="single"/>
    </w:rPr>
  </w:style>
  <w:style w:type="character" w:customStyle="1" w:styleId="Hyperlink2">
    <w:name w:val="Hyperlink.2"/>
    <w:rsid w:val="0090459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translation">
    <w:name w:val="translation"/>
    <w:basedOn w:val="Carpredefinitoparagrafo"/>
    <w:rsid w:val="00C5669B"/>
  </w:style>
  <w:style w:type="character" w:styleId="Rimandocommento">
    <w:name w:val="annotation reference"/>
    <w:basedOn w:val="Carpredefinitoparagrafo"/>
    <w:uiPriority w:val="99"/>
    <w:semiHidden/>
    <w:unhideWhenUsed/>
    <w:rsid w:val="00BC7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C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7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7CF2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65D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2802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245"/>
    <w:rPr>
      <w:color w:val="808080"/>
      <w:shd w:val="clear" w:color="auto" w:fill="E6E6E6"/>
    </w:rPr>
  </w:style>
  <w:style w:type="character" w:customStyle="1" w:styleId="Nessuno">
    <w:name w:val="Nessuno"/>
    <w:rsid w:val="00F83F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Abbondanza</dc:creator>
  <cp:keywords/>
  <dc:description/>
  <cp:lastModifiedBy>Abbondanza Matteo</cp:lastModifiedBy>
  <cp:revision>3</cp:revision>
  <cp:lastPrinted>2017-05-23T09:33:00Z</cp:lastPrinted>
  <dcterms:created xsi:type="dcterms:W3CDTF">2018-05-28T09:07:00Z</dcterms:created>
  <dcterms:modified xsi:type="dcterms:W3CDTF">2018-05-28T09:13:00Z</dcterms:modified>
</cp:coreProperties>
</file>