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97" w:rsidRPr="00B009D5" w:rsidRDefault="00F71697" w:rsidP="00F71697">
      <w:pPr>
        <w:spacing w:line="260" w:lineRule="exact"/>
        <w:jc w:val="center"/>
        <w:rPr>
          <w:rStyle w:val="Nessuno"/>
          <w:color w:val="595959" w:themeColor="text1" w:themeTint="A6"/>
          <w:spacing w:val="-1"/>
          <w:sz w:val="22"/>
          <w:szCs w:val="22"/>
          <w:u w:val="single" w:color="75787B"/>
        </w:rPr>
      </w:pPr>
      <w:r w:rsidRPr="00B009D5">
        <w:rPr>
          <w:rStyle w:val="Nessuno"/>
          <w:color w:val="595959" w:themeColor="text1" w:themeTint="A6"/>
          <w:spacing w:val="-1"/>
          <w:sz w:val="22"/>
          <w:szCs w:val="22"/>
          <w:u w:val="single" w:color="75787B"/>
        </w:rPr>
        <w:t>Comunicato stampa</w:t>
      </w:r>
      <w:r w:rsidRPr="00B009D5">
        <w:rPr>
          <w:rStyle w:val="Nessuno"/>
          <w:rFonts w:ascii="Arial Unicode MS" w:hAnsi="Arial Unicode MS"/>
          <w:color w:val="595959" w:themeColor="text1" w:themeTint="A6"/>
          <w:spacing w:val="-1"/>
          <w:sz w:val="22"/>
          <w:szCs w:val="22"/>
          <w:u w:val="single" w:color="75787B"/>
        </w:rPr>
        <w:br/>
      </w:r>
    </w:p>
    <w:p w:rsidR="00F71697" w:rsidRPr="00B009D5" w:rsidRDefault="00F71697" w:rsidP="00F71697">
      <w:pPr>
        <w:spacing w:line="260" w:lineRule="exact"/>
        <w:jc w:val="center"/>
        <w:rPr>
          <w:rStyle w:val="Nessuno"/>
          <w:b/>
          <w:color w:val="595959" w:themeColor="text1" w:themeTint="A6"/>
          <w:spacing w:val="-1"/>
          <w:sz w:val="24"/>
          <w:szCs w:val="24"/>
          <w:u w:color="75787B"/>
        </w:rPr>
      </w:pPr>
      <w:r w:rsidRPr="00B009D5">
        <w:rPr>
          <w:rStyle w:val="Nessuno"/>
          <w:b/>
          <w:color w:val="595959" w:themeColor="text1" w:themeTint="A6"/>
          <w:spacing w:val="-1"/>
          <w:sz w:val="24"/>
          <w:szCs w:val="24"/>
          <w:u w:color="75787B"/>
        </w:rPr>
        <w:t>Approvato il bilancio 2017: crescono ricavi e investimenti</w:t>
      </w:r>
    </w:p>
    <w:p w:rsidR="00F71697" w:rsidRPr="00B009D5" w:rsidRDefault="00F71697" w:rsidP="00F71697">
      <w:pPr>
        <w:spacing w:line="260" w:lineRule="exact"/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</w:pPr>
    </w:p>
    <w:p w:rsidR="00F71697" w:rsidRPr="00B009D5" w:rsidRDefault="00F71697" w:rsidP="00F71697">
      <w:pPr>
        <w:spacing w:after="120" w:line="240" w:lineRule="exact"/>
        <w:jc w:val="center"/>
        <w:rPr>
          <w:rStyle w:val="Nessuno"/>
          <w:i/>
          <w:color w:val="595959" w:themeColor="text1" w:themeTint="A6"/>
          <w:spacing w:val="-1"/>
          <w:sz w:val="22"/>
          <w:szCs w:val="22"/>
          <w:u w:color="75787B"/>
        </w:rPr>
      </w:pPr>
      <w:r w:rsidRPr="00B009D5">
        <w:rPr>
          <w:rStyle w:val="Nessuno"/>
          <w:i/>
          <w:color w:val="595959" w:themeColor="text1" w:themeTint="A6"/>
          <w:spacing w:val="-1"/>
          <w:sz w:val="22"/>
          <w:szCs w:val="22"/>
          <w:u w:color="75787B"/>
        </w:rPr>
        <w:t xml:space="preserve">Ricavi pari a </w:t>
      </w:r>
      <w:r w:rsidRPr="00B009D5">
        <w:rPr>
          <w:color w:val="595959" w:themeColor="text1" w:themeTint="A6"/>
          <w:spacing w:val="-1"/>
          <w:sz w:val="22"/>
          <w:szCs w:val="22"/>
          <w:u w:color="75787B"/>
        </w:rPr>
        <w:t xml:space="preserve">€ </w:t>
      </w:r>
      <w:r w:rsidRPr="00B009D5">
        <w:rPr>
          <w:rStyle w:val="Nessuno"/>
          <w:i/>
          <w:color w:val="595959" w:themeColor="text1" w:themeTint="A6"/>
          <w:spacing w:val="-1"/>
          <w:sz w:val="22"/>
          <w:szCs w:val="22"/>
          <w:u w:color="75787B"/>
        </w:rPr>
        <w:t xml:space="preserve">855,9 milioni, +6,6% al netto delle acquisizioni </w:t>
      </w:r>
    </w:p>
    <w:p w:rsidR="00F71697" w:rsidRPr="00B009D5" w:rsidRDefault="00F71697" w:rsidP="00F71697">
      <w:pPr>
        <w:spacing w:after="120" w:line="240" w:lineRule="exact"/>
        <w:jc w:val="center"/>
        <w:rPr>
          <w:rStyle w:val="Nessuno"/>
          <w:i/>
          <w:color w:val="595959" w:themeColor="text1" w:themeTint="A6"/>
          <w:spacing w:val="-1"/>
          <w:sz w:val="22"/>
          <w:szCs w:val="22"/>
          <w:u w:color="75787B"/>
        </w:rPr>
      </w:pPr>
      <w:r w:rsidRPr="00B009D5">
        <w:rPr>
          <w:rStyle w:val="Nessuno"/>
          <w:i/>
          <w:color w:val="595959" w:themeColor="text1" w:themeTint="A6"/>
          <w:spacing w:val="-1"/>
          <w:sz w:val="22"/>
          <w:szCs w:val="22"/>
          <w:u w:color="75787B"/>
        </w:rPr>
        <w:t xml:space="preserve">Investimenti per </w:t>
      </w:r>
      <w:r w:rsidRPr="00B009D5">
        <w:rPr>
          <w:color w:val="595959" w:themeColor="text1" w:themeTint="A6"/>
          <w:spacing w:val="-1"/>
          <w:sz w:val="22"/>
          <w:szCs w:val="22"/>
          <w:u w:color="75787B"/>
        </w:rPr>
        <w:t xml:space="preserve">€ </w:t>
      </w:r>
      <w:r w:rsidRPr="00B009D5">
        <w:rPr>
          <w:rStyle w:val="Nessuno"/>
          <w:i/>
          <w:color w:val="595959" w:themeColor="text1" w:themeTint="A6"/>
          <w:spacing w:val="-1"/>
          <w:sz w:val="22"/>
          <w:szCs w:val="22"/>
          <w:u w:color="75787B"/>
        </w:rPr>
        <w:t xml:space="preserve">97,5 milioni, </w:t>
      </w:r>
      <w:r w:rsidR="006A5EDA" w:rsidRPr="00B009D5">
        <w:rPr>
          <w:rStyle w:val="Nessuno"/>
          <w:i/>
          <w:color w:val="595959" w:themeColor="text1" w:themeTint="A6"/>
          <w:spacing w:val="-1"/>
          <w:sz w:val="22"/>
          <w:szCs w:val="22"/>
          <w:u w:color="75787B"/>
        </w:rPr>
        <w:t>+</w:t>
      </w:r>
      <w:r w:rsidRPr="00B009D5">
        <w:rPr>
          <w:rStyle w:val="Nessuno"/>
          <w:i/>
          <w:color w:val="595959" w:themeColor="text1" w:themeTint="A6"/>
          <w:spacing w:val="-1"/>
          <w:sz w:val="22"/>
          <w:szCs w:val="22"/>
          <w:u w:color="75787B"/>
        </w:rPr>
        <w:t xml:space="preserve">64% dell’anno precedente </w:t>
      </w:r>
    </w:p>
    <w:p w:rsidR="00F71697" w:rsidRPr="00B009D5" w:rsidRDefault="00F71697" w:rsidP="00F71697">
      <w:pPr>
        <w:spacing w:after="120" w:line="240" w:lineRule="exact"/>
        <w:jc w:val="center"/>
        <w:rPr>
          <w:rStyle w:val="Nessuno"/>
          <w:b/>
          <w:color w:val="595959" w:themeColor="text1" w:themeTint="A6"/>
          <w:spacing w:val="-1"/>
          <w:sz w:val="22"/>
          <w:szCs w:val="22"/>
          <w:u w:color="75787B"/>
        </w:rPr>
      </w:pPr>
      <w:r w:rsidRPr="00B009D5">
        <w:rPr>
          <w:rStyle w:val="Nessuno"/>
          <w:i/>
          <w:color w:val="595959" w:themeColor="text1" w:themeTint="A6"/>
          <w:spacing w:val="-1"/>
          <w:sz w:val="22"/>
          <w:szCs w:val="22"/>
          <w:u w:color="75787B"/>
        </w:rPr>
        <w:t>Autorizzata la separazione societaria tra servizi di pagamento e servizi bancari</w:t>
      </w:r>
    </w:p>
    <w:p w:rsidR="00F71697" w:rsidRPr="00B009D5" w:rsidRDefault="00F71697" w:rsidP="00F71697">
      <w:pPr>
        <w:spacing w:after="120" w:line="240" w:lineRule="exact"/>
        <w:jc w:val="center"/>
        <w:rPr>
          <w:rStyle w:val="Nessuno"/>
          <w:i/>
          <w:color w:val="595959" w:themeColor="text1" w:themeTint="A6"/>
          <w:spacing w:val="-1"/>
          <w:sz w:val="22"/>
          <w:szCs w:val="22"/>
          <w:u w:color="75787B"/>
        </w:rPr>
      </w:pPr>
      <w:r w:rsidRPr="00B009D5">
        <w:rPr>
          <w:rStyle w:val="Nessuno"/>
          <w:i/>
          <w:color w:val="595959" w:themeColor="text1" w:themeTint="A6"/>
          <w:spacing w:val="-1"/>
          <w:sz w:val="22"/>
          <w:szCs w:val="22"/>
          <w:u w:color="75787B"/>
        </w:rPr>
        <w:t>Avviato rifinanziamento del debito a condizioni migliorative</w:t>
      </w:r>
    </w:p>
    <w:p w:rsidR="00F71697" w:rsidRPr="00B009D5" w:rsidRDefault="00F71697" w:rsidP="00F71697">
      <w:pPr>
        <w:spacing w:after="120" w:line="240" w:lineRule="exact"/>
        <w:jc w:val="center"/>
        <w:rPr>
          <w:rStyle w:val="Nessuno"/>
          <w:i/>
          <w:color w:val="595959" w:themeColor="text1" w:themeTint="A6"/>
          <w:spacing w:val="-1"/>
          <w:sz w:val="22"/>
          <w:szCs w:val="22"/>
          <w:u w:color="75787B"/>
        </w:rPr>
      </w:pPr>
      <w:r w:rsidRPr="00B009D5">
        <w:rPr>
          <w:rStyle w:val="Nessuno"/>
          <w:i/>
          <w:color w:val="595959" w:themeColor="text1" w:themeTint="A6"/>
          <w:spacing w:val="-1"/>
          <w:sz w:val="22"/>
          <w:szCs w:val="22"/>
          <w:u w:color="75787B"/>
        </w:rPr>
        <w:t xml:space="preserve">Ulteriore passo in avanti di </w:t>
      </w:r>
      <w:proofErr w:type="spellStart"/>
      <w:r w:rsidRPr="00B009D5">
        <w:rPr>
          <w:rStyle w:val="Nessuno"/>
          <w:i/>
          <w:color w:val="595959" w:themeColor="text1" w:themeTint="A6"/>
          <w:spacing w:val="-1"/>
          <w:sz w:val="22"/>
          <w:szCs w:val="22"/>
          <w:u w:color="75787B"/>
        </w:rPr>
        <w:t>Nexi</w:t>
      </w:r>
      <w:proofErr w:type="spellEnd"/>
      <w:r w:rsidRPr="00B009D5">
        <w:rPr>
          <w:rStyle w:val="Nessuno"/>
          <w:i/>
          <w:color w:val="595959" w:themeColor="text1" w:themeTint="A6"/>
          <w:spacing w:val="-1"/>
          <w:sz w:val="22"/>
          <w:szCs w:val="22"/>
          <w:u w:color="75787B"/>
        </w:rPr>
        <w:t xml:space="preserve"> nella creazione della </w:t>
      </w:r>
      <w:proofErr w:type="spellStart"/>
      <w:r w:rsidRPr="00B009D5">
        <w:rPr>
          <w:rStyle w:val="Nessuno"/>
          <w:i/>
          <w:color w:val="595959" w:themeColor="text1" w:themeTint="A6"/>
          <w:spacing w:val="-1"/>
          <w:sz w:val="22"/>
          <w:szCs w:val="22"/>
          <w:u w:color="75787B"/>
        </w:rPr>
        <w:t>PayTech</w:t>
      </w:r>
      <w:proofErr w:type="spellEnd"/>
      <w:r w:rsidRPr="00B009D5">
        <w:rPr>
          <w:rStyle w:val="Nessuno"/>
          <w:i/>
          <w:color w:val="595959" w:themeColor="text1" w:themeTint="A6"/>
          <w:spacing w:val="-1"/>
          <w:sz w:val="22"/>
          <w:szCs w:val="22"/>
          <w:u w:color="75787B"/>
        </w:rPr>
        <w:t xml:space="preserve"> a servizio delle Banche</w:t>
      </w:r>
    </w:p>
    <w:p w:rsidR="00F71697" w:rsidRDefault="00F71697" w:rsidP="00F71697">
      <w:pPr>
        <w:spacing w:line="260" w:lineRule="exact"/>
        <w:jc w:val="both"/>
        <w:rPr>
          <w:rStyle w:val="Nessuno"/>
          <w:i/>
          <w:color w:val="595959" w:themeColor="text1" w:themeTint="A6"/>
          <w:spacing w:val="-1"/>
          <w:sz w:val="22"/>
          <w:szCs w:val="22"/>
          <w:u w:color="75787B"/>
        </w:rPr>
      </w:pPr>
    </w:p>
    <w:p w:rsidR="00B009D5" w:rsidRPr="00B009D5" w:rsidRDefault="00B009D5" w:rsidP="00F71697">
      <w:pPr>
        <w:spacing w:line="260" w:lineRule="exact"/>
        <w:jc w:val="both"/>
        <w:rPr>
          <w:rStyle w:val="Nessuno"/>
          <w:i/>
          <w:color w:val="595959" w:themeColor="text1" w:themeTint="A6"/>
          <w:spacing w:val="-1"/>
          <w:sz w:val="22"/>
          <w:szCs w:val="22"/>
          <w:u w:color="75787B"/>
        </w:rPr>
      </w:pPr>
    </w:p>
    <w:p w:rsidR="0006124A" w:rsidRPr="00B009D5" w:rsidRDefault="0006124A" w:rsidP="0006124A">
      <w:pPr>
        <w:spacing w:line="260" w:lineRule="exact"/>
        <w:jc w:val="both"/>
        <w:rPr>
          <w:color w:val="595959" w:themeColor="text1" w:themeTint="A6"/>
          <w:spacing w:val="-1"/>
          <w:sz w:val="22"/>
          <w:szCs w:val="22"/>
          <w:u w:color="75787B"/>
        </w:rPr>
      </w:pPr>
      <w:r w:rsidRPr="00B009D5">
        <w:rPr>
          <w:rStyle w:val="Nessuno"/>
          <w:i/>
          <w:color w:val="595959" w:themeColor="text1" w:themeTint="A6"/>
          <w:spacing w:val="-1"/>
          <w:sz w:val="22"/>
          <w:szCs w:val="22"/>
          <w:u w:color="75787B"/>
        </w:rPr>
        <w:t>Milano, 30 aprile 2018</w:t>
      </w:r>
      <w:r w:rsidRPr="00B009D5"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  <w:t xml:space="preserve"> – </w:t>
      </w:r>
      <w:r w:rsidRPr="00B009D5">
        <w:rPr>
          <w:color w:val="595959" w:themeColor="text1" w:themeTint="A6"/>
          <w:spacing w:val="-1"/>
          <w:sz w:val="22"/>
          <w:szCs w:val="22"/>
          <w:u w:color="75787B"/>
        </w:rPr>
        <w:t xml:space="preserve">L’Assemblea dei Soci di </w:t>
      </w:r>
      <w:proofErr w:type="spellStart"/>
      <w:r w:rsidRPr="00B009D5">
        <w:rPr>
          <w:b/>
          <w:color w:val="595959" w:themeColor="text1" w:themeTint="A6"/>
          <w:spacing w:val="-1"/>
          <w:sz w:val="22"/>
          <w:szCs w:val="22"/>
          <w:u w:color="75787B"/>
        </w:rPr>
        <w:t>Nexi</w:t>
      </w:r>
      <w:proofErr w:type="spellEnd"/>
      <w:r w:rsidRPr="00B009D5">
        <w:rPr>
          <w:color w:val="595959" w:themeColor="text1" w:themeTint="A6"/>
          <w:spacing w:val="-1"/>
          <w:sz w:val="22"/>
          <w:szCs w:val="22"/>
          <w:u w:color="75787B"/>
        </w:rPr>
        <w:t>, l’</w:t>
      </w:r>
      <w:r w:rsidRPr="00B009D5"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  <w:t xml:space="preserve">azienda </w:t>
      </w:r>
      <w:r w:rsidRPr="00B009D5">
        <w:rPr>
          <w:rStyle w:val="Nessuno"/>
          <w:i/>
          <w:color w:val="595959" w:themeColor="text1" w:themeTint="A6"/>
          <w:spacing w:val="-1"/>
          <w:sz w:val="22"/>
          <w:szCs w:val="22"/>
          <w:u w:color="75787B"/>
        </w:rPr>
        <w:t>leader</w:t>
      </w:r>
      <w:r w:rsidRPr="00B009D5"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  <w:t xml:space="preserve"> in Italia nel settore dei pagamenti digitali, </w:t>
      </w:r>
      <w:r w:rsidRPr="00B009D5">
        <w:rPr>
          <w:color w:val="595959" w:themeColor="text1" w:themeTint="A6"/>
          <w:spacing w:val="-1"/>
          <w:sz w:val="22"/>
          <w:szCs w:val="22"/>
          <w:u w:color="75787B"/>
        </w:rPr>
        <w:t>ha approvato il Bilancio al 31 dicembre 2017: in evidenza la crescita dei ricavi e degli investimenti.</w:t>
      </w:r>
    </w:p>
    <w:p w:rsidR="00F71697" w:rsidRPr="00B009D5" w:rsidRDefault="00F71697" w:rsidP="00F71697">
      <w:pPr>
        <w:spacing w:line="260" w:lineRule="exact"/>
        <w:jc w:val="both"/>
        <w:rPr>
          <w:color w:val="595959" w:themeColor="text1" w:themeTint="A6"/>
          <w:spacing w:val="-1"/>
          <w:sz w:val="22"/>
          <w:szCs w:val="22"/>
          <w:u w:color="75787B"/>
        </w:rPr>
      </w:pPr>
    </w:p>
    <w:p w:rsidR="0006124A" w:rsidRPr="00B009D5" w:rsidRDefault="0006124A" w:rsidP="0006124A">
      <w:pPr>
        <w:spacing w:line="260" w:lineRule="exact"/>
        <w:jc w:val="both"/>
        <w:rPr>
          <w:color w:val="595959" w:themeColor="text1" w:themeTint="A6"/>
          <w:spacing w:val="-1"/>
          <w:sz w:val="22"/>
          <w:szCs w:val="22"/>
          <w:u w:color="75787B"/>
        </w:rPr>
      </w:pPr>
      <w:r w:rsidRPr="00B009D5">
        <w:rPr>
          <w:color w:val="595959" w:themeColor="text1" w:themeTint="A6"/>
          <w:spacing w:val="-1"/>
          <w:sz w:val="22"/>
          <w:szCs w:val="22"/>
          <w:u w:color="75787B"/>
        </w:rPr>
        <w:t>A livello consolidato i ricavi sono saliti a €855,9 milioni, rispetto a €688,5 milioni nel 2016, facendo registrare una crescita organica pari al 6,6%, al netto delle acquisizioni realizzate nel 2017.</w:t>
      </w:r>
    </w:p>
    <w:p w:rsidR="00F71697" w:rsidRPr="00B009D5" w:rsidRDefault="00F71697" w:rsidP="00F71697">
      <w:pPr>
        <w:spacing w:line="260" w:lineRule="exact"/>
        <w:jc w:val="both"/>
        <w:rPr>
          <w:color w:val="595959" w:themeColor="text1" w:themeTint="A6"/>
          <w:spacing w:val="-1"/>
          <w:sz w:val="22"/>
          <w:szCs w:val="22"/>
          <w:u w:color="75787B"/>
        </w:rPr>
      </w:pPr>
    </w:p>
    <w:p w:rsidR="0006124A" w:rsidRPr="00B009D5" w:rsidRDefault="00F71697" w:rsidP="00F71697">
      <w:pPr>
        <w:spacing w:line="260" w:lineRule="exact"/>
        <w:jc w:val="both"/>
        <w:rPr>
          <w:color w:val="595959" w:themeColor="text1" w:themeTint="A6"/>
          <w:spacing w:val="-1"/>
          <w:sz w:val="22"/>
          <w:szCs w:val="22"/>
          <w:u w:color="75787B"/>
        </w:rPr>
      </w:pPr>
      <w:r w:rsidRPr="00B009D5">
        <w:rPr>
          <w:color w:val="595959" w:themeColor="text1" w:themeTint="A6"/>
          <w:spacing w:val="-1"/>
          <w:sz w:val="22"/>
          <w:szCs w:val="22"/>
          <w:u w:color="75787B"/>
        </w:rPr>
        <w:t xml:space="preserve">L’EBITDA </w:t>
      </w:r>
      <w:r w:rsidR="009A43B6" w:rsidRPr="00B009D5">
        <w:rPr>
          <w:color w:val="595959" w:themeColor="text1" w:themeTint="A6"/>
          <w:spacing w:val="-1"/>
          <w:sz w:val="22"/>
          <w:szCs w:val="22"/>
          <w:u w:color="75787B"/>
        </w:rPr>
        <w:t xml:space="preserve">grazie alla </w:t>
      </w:r>
      <w:r w:rsidRPr="00B009D5">
        <w:rPr>
          <w:color w:val="595959" w:themeColor="text1" w:themeTint="A6"/>
          <w:spacing w:val="-1"/>
          <w:sz w:val="22"/>
          <w:szCs w:val="22"/>
          <w:u w:color="75787B"/>
        </w:rPr>
        <w:t>crescita dei ricavi</w:t>
      </w:r>
      <w:r w:rsidR="009A43B6" w:rsidRPr="00B009D5">
        <w:rPr>
          <w:color w:val="595959" w:themeColor="text1" w:themeTint="A6"/>
          <w:spacing w:val="-1"/>
          <w:sz w:val="22"/>
          <w:szCs w:val="22"/>
          <w:u w:color="75787B"/>
        </w:rPr>
        <w:t xml:space="preserve">, al </w:t>
      </w:r>
      <w:r w:rsidR="0006124A" w:rsidRPr="00B009D5">
        <w:rPr>
          <w:color w:val="595959" w:themeColor="text1" w:themeTint="A6"/>
          <w:spacing w:val="-1"/>
          <w:sz w:val="22"/>
          <w:szCs w:val="22"/>
          <w:u w:color="75787B"/>
        </w:rPr>
        <w:t>contenimento dei costi</w:t>
      </w:r>
      <w:r w:rsidRPr="00B009D5">
        <w:rPr>
          <w:color w:val="595959" w:themeColor="text1" w:themeTint="A6"/>
          <w:spacing w:val="-1"/>
          <w:sz w:val="22"/>
          <w:szCs w:val="22"/>
          <w:u w:color="75787B"/>
        </w:rPr>
        <w:t xml:space="preserve"> nonostante l’aumento degli investimenti per lo sviluppo, e per l’impatto delle acquisizioni è salito a </w:t>
      </w:r>
      <w:r w:rsidRPr="00B009D5">
        <w:rPr>
          <w:color w:val="595959" w:themeColor="text1" w:themeTint="A6"/>
          <w:spacing w:val="-1"/>
          <w:sz w:val="22"/>
          <w:szCs w:val="22"/>
          <w:u w:color="75787B"/>
        </w:rPr>
        <w:br/>
        <w:t>€</w:t>
      </w:r>
      <w:r w:rsidR="00A3678C" w:rsidRPr="00B009D5">
        <w:rPr>
          <w:color w:val="595959" w:themeColor="text1" w:themeTint="A6"/>
          <w:spacing w:val="-1"/>
          <w:sz w:val="22"/>
          <w:szCs w:val="22"/>
          <w:u w:color="75787B"/>
        </w:rPr>
        <w:t>303,</w:t>
      </w:r>
      <w:r w:rsidRPr="00B009D5">
        <w:rPr>
          <w:color w:val="595959" w:themeColor="text1" w:themeTint="A6"/>
          <w:spacing w:val="-1"/>
          <w:sz w:val="22"/>
          <w:szCs w:val="22"/>
          <w:u w:color="75787B"/>
        </w:rPr>
        <w:t xml:space="preserve">9 milioni, </w:t>
      </w:r>
      <w:r w:rsidR="0006124A" w:rsidRPr="00B009D5">
        <w:rPr>
          <w:color w:val="595959" w:themeColor="text1" w:themeTint="A6"/>
          <w:spacing w:val="-1"/>
          <w:sz w:val="22"/>
          <w:szCs w:val="22"/>
          <w:u w:color="75787B"/>
        </w:rPr>
        <w:t>rispetto a €227 milioni nel 2016, facendo registrare una crescita organica pari al 18,5%, al netto delle acquisizioni realizzate nel 2017.</w:t>
      </w:r>
    </w:p>
    <w:p w:rsidR="00F71697" w:rsidRPr="00B009D5" w:rsidRDefault="00F71697" w:rsidP="00F71697">
      <w:pPr>
        <w:spacing w:line="260" w:lineRule="exact"/>
        <w:jc w:val="both"/>
        <w:rPr>
          <w:color w:val="595959" w:themeColor="text1" w:themeTint="A6"/>
          <w:spacing w:val="-1"/>
          <w:sz w:val="22"/>
          <w:szCs w:val="22"/>
          <w:u w:color="75787B"/>
        </w:rPr>
      </w:pPr>
    </w:p>
    <w:p w:rsidR="00F71697" w:rsidRPr="00B009D5" w:rsidRDefault="00F71697" w:rsidP="00F71697">
      <w:pPr>
        <w:spacing w:line="260" w:lineRule="exact"/>
        <w:jc w:val="both"/>
        <w:rPr>
          <w:color w:val="595959" w:themeColor="text1" w:themeTint="A6"/>
          <w:spacing w:val="-1"/>
          <w:sz w:val="22"/>
          <w:szCs w:val="22"/>
          <w:u w:color="75787B"/>
        </w:rPr>
      </w:pPr>
      <w:r w:rsidRPr="00B009D5">
        <w:rPr>
          <w:color w:val="595959" w:themeColor="text1" w:themeTint="A6"/>
          <w:spacing w:val="-1"/>
          <w:sz w:val="22"/>
          <w:szCs w:val="22"/>
          <w:u w:color="75787B"/>
        </w:rPr>
        <w:t xml:space="preserve">Nell’ottica di accelerare </w:t>
      </w:r>
      <w:r w:rsidR="0006124A" w:rsidRPr="00B009D5">
        <w:rPr>
          <w:color w:val="595959" w:themeColor="text1" w:themeTint="A6"/>
          <w:spacing w:val="-1"/>
          <w:sz w:val="22"/>
          <w:szCs w:val="22"/>
          <w:u w:color="75787B"/>
        </w:rPr>
        <w:t xml:space="preserve">il focus del gruppo </w:t>
      </w:r>
      <w:proofErr w:type="spellStart"/>
      <w:r w:rsidR="0006124A" w:rsidRPr="00B009D5">
        <w:rPr>
          <w:b/>
          <w:color w:val="595959" w:themeColor="text1" w:themeTint="A6"/>
          <w:spacing w:val="-1"/>
          <w:sz w:val="22"/>
          <w:szCs w:val="22"/>
          <w:u w:color="75787B"/>
        </w:rPr>
        <w:t>Nexi</w:t>
      </w:r>
      <w:proofErr w:type="spellEnd"/>
      <w:r w:rsidR="0006124A" w:rsidRPr="00B009D5">
        <w:rPr>
          <w:color w:val="595959" w:themeColor="text1" w:themeTint="A6"/>
          <w:spacing w:val="-1"/>
          <w:sz w:val="22"/>
          <w:szCs w:val="22"/>
          <w:u w:color="75787B"/>
        </w:rPr>
        <w:t xml:space="preserve"> </w:t>
      </w:r>
      <w:r w:rsidRPr="00B009D5">
        <w:rPr>
          <w:color w:val="595959" w:themeColor="text1" w:themeTint="A6"/>
          <w:spacing w:val="-1"/>
          <w:sz w:val="22"/>
          <w:szCs w:val="22"/>
          <w:u w:color="75787B"/>
        </w:rPr>
        <w:t xml:space="preserve">sull’innovazione e sulla qualità, le spese e gli investimenti per progetti di ICT sono aumentati del 64% nel 2017 raggiungendo la cifra di €97,5 milioni. </w:t>
      </w:r>
    </w:p>
    <w:p w:rsidR="00F71697" w:rsidRPr="00B009D5" w:rsidRDefault="00F71697" w:rsidP="00F71697">
      <w:pPr>
        <w:spacing w:line="260" w:lineRule="exact"/>
        <w:jc w:val="both"/>
        <w:rPr>
          <w:color w:val="595959" w:themeColor="text1" w:themeTint="A6"/>
          <w:spacing w:val="-1"/>
          <w:sz w:val="22"/>
          <w:szCs w:val="22"/>
          <w:u w:color="75787B"/>
        </w:rPr>
      </w:pPr>
      <w:r w:rsidRPr="00B009D5">
        <w:rPr>
          <w:color w:val="595959" w:themeColor="text1" w:themeTint="A6"/>
          <w:spacing w:val="-1"/>
          <w:sz w:val="22"/>
          <w:szCs w:val="22"/>
          <w:u w:color="75787B"/>
        </w:rPr>
        <w:t xml:space="preserve"> </w:t>
      </w:r>
    </w:p>
    <w:p w:rsidR="00F71697" w:rsidRPr="00B009D5" w:rsidRDefault="00F71697" w:rsidP="00F71697">
      <w:pPr>
        <w:spacing w:line="260" w:lineRule="exact"/>
        <w:jc w:val="both"/>
        <w:rPr>
          <w:color w:val="595959" w:themeColor="text1" w:themeTint="A6"/>
          <w:spacing w:val="-1"/>
          <w:sz w:val="22"/>
          <w:szCs w:val="22"/>
          <w:u w:color="75787B"/>
        </w:rPr>
      </w:pPr>
      <w:r w:rsidRPr="00B009D5">
        <w:rPr>
          <w:color w:val="595959" w:themeColor="text1" w:themeTint="A6"/>
          <w:spacing w:val="-1"/>
          <w:sz w:val="22"/>
          <w:szCs w:val="22"/>
          <w:u w:color="75787B"/>
        </w:rPr>
        <w:t>L’utile netto d’esercizio è di €79,1 milioni, in calo rispetto a</w:t>
      </w:r>
      <w:r w:rsidR="0006124A" w:rsidRPr="00B009D5">
        <w:rPr>
          <w:color w:val="595959" w:themeColor="text1" w:themeTint="A6"/>
          <w:spacing w:val="-1"/>
          <w:sz w:val="22"/>
          <w:szCs w:val="22"/>
          <w:u w:color="75787B"/>
        </w:rPr>
        <w:t xml:space="preserve"> €</w:t>
      </w:r>
      <w:r w:rsidRPr="00B009D5">
        <w:rPr>
          <w:color w:val="595959" w:themeColor="text1" w:themeTint="A6"/>
          <w:spacing w:val="-1"/>
          <w:sz w:val="22"/>
          <w:szCs w:val="22"/>
          <w:u w:color="75787B"/>
        </w:rPr>
        <w:t>104 milioni del 2016 per effetto degli investimenti straordinari sostenuti per accelerare la realizzazione del piano industriale.</w:t>
      </w:r>
    </w:p>
    <w:p w:rsidR="00F71697" w:rsidRPr="00B009D5" w:rsidRDefault="00F71697" w:rsidP="00F71697">
      <w:pPr>
        <w:tabs>
          <w:tab w:val="num" w:pos="720"/>
        </w:tabs>
        <w:spacing w:line="260" w:lineRule="exact"/>
        <w:jc w:val="both"/>
        <w:rPr>
          <w:color w:val="595959" w:themeColor="text1" w:themeTint="A6"/>
          <w:spacing w:val="-1"/>
          <w:sz w:val="22"/>
          <w:szCs w:val="22"/>
          <w:u w:color="75787B"/>
        </w:rPr>
      </w:pPr>
    </w:p>
    <w:p w:rsidR="00A76F70" w:rsidRPr="00B009D5" w:rsidRDefault="00F71697" w:rsidP="00F71697">
      <w:pPr>
        <w:spacing w:line="260" w:lineRule="exact"/>
        <w:jc w:val="both"/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</w:pPr>
      <w:r w:rsidRPr="00B009D5"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  <w:t xml:space="preserve">In questi giorni, inoltre, il gruppo </w:t>
      </w:r>
      <w:proofErr w:type="spellStart"/>
      <w:r w:rsidRPr="00B009D5">
        <w:rPr>
          <w:rStyle w:val="Nessuno"/>
          <w:b/>
          <w:color w:val="595959" w:themeColor="text1" w:themeTint="A6"/>
          <w:spacing w:val="-1"/>
          <w:sz w:val="22"/>
          <w:szCs w:val="22"/>
          <w:u w:color="75787B"/>
        </w:rPr>
        <w:t>Nexi</w:t>
      </w:r>
      <w:proofErr w:type="spellEnd"/>
      <w:r w:rsidRPr="00B009D5"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  <w:t xml:space="preserve"> ha ricevuto l’autorizzazione da parte della Banca d’Italia e dalla Banca Centrale Europea a procedere alla riorganizzazione societaria avviata lo scorso gennaio, che prevede la separazione tra le attività legate al mondo dei pagamenti e quelle di natura strettamente bancaria (Securities Services e Servizi di </w:t>
      </w:r>
      <w:proofErr w:type="spellStart"/>
      <w:r w:rsidRPr="00B009D5"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  <w:t>Tramitazione</w:t>
      </w:r>
      <w:proofErr w:type="spellEnd"/>
      <w:r w:rsidRPr="00B009D5"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  <w:t xml:space="preserve">). </w:t>
      </w:r>
    </w:p>
    <w:p w:rsidR="00A76F70" w:rsidRPr="00B009D5" w:rsidRDefault="00A76F70" w:rsidP="00F71697">
      <w:pPr>
        <w:spacing w:line="260" w:lineRule="exact"/>
        <w:jc w:val="both"/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</w:pPr>
    </w:p>
    <w:p w:rsidR="00F71697" w:rsidRPr="00B009D5" w:rsidRDefault="00346076" w:rsidP="00F71697">
      <w:pPr>
        <w:spacing w:line="260" w:lineRule="exact"/>
        <w:jc w:val="both"/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</w:pPr>
      <w:r w:rsidRPr="00B009D5"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  <w:t xml:space="preserve">Si tratta di un passaggio chiave della riorganizzazione che diventerà effettivamente operativa a partire da luglio e che consente a </w:t>
      </w:r>
      <w:proofErr w:type="spellStart"/>
      <w:r w:rsidRPr="00B009D5">
        <w:rPr>
          <w:rStyle w:val="Nessuno"/>
          <w:b/>
          <w:color w:val="595959" w:themeColor="text1" w:themeTint="A6"/>
          <w:spacing w:val="-1"/>
          <w:sz w:val="22"/>
          <w:szCs w:val="22"/>
          <w:u w:color="75787B"/>
        </w:rPr>
        <w:t>Nexi</w:t>
      </w:r>
      <w:proofErr w:type="spellEnd"/>
      <w:r w:rsidRPr="00B009D5"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  <w:t xml:space="preserve"> di focalizzarsi ancor più nel suo percorso di sviluppo per rafforzare ulteriormente il suo ruolo di </w:t>
      </w:r>
      <w:proofErr w:type="spellStart"/>
      <w:r w:rsidRPr="00B009D5"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  <w:t>Paytech</w:t>
      </w:r>
      <w:proofErr w:type="spellEnd"/>
      <w:r w:rsidRPr="00B009D5"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  <w:t xml:space="preserve"> italiana specializzata nell’offerta di servizi e di prodotti innovativi e di qualità alle proprie banche partner e, al contempo, di creare la prima banca depositaria italiana.</w:t>
      </w:r>
    </w:p>
    <w:p w:rsidR="00DE3407" w:rsidRPr="00B009D5" w:rsidRDefault="00DE3407" w:rsidP="00F71697">
      <w:pPr>
        <w:spacing w:line="260" w:lineRule="exact"/>
        <w:jc w:val="both"/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</w:pPr>
    </w:p>
    <w:p w:rsidR="00523B65" w:rsidRPr="00523B65" w:rsidRDefault="00523B65" w:rsidP="00523B65">
      <w:pPr>
        <w:spacing w:line="260" w:lineRule="exact"/>
        <w:jc w:val="both"/>
        <w:rPr>
          <w:rFonts w:ascii="Calibri" w:hAnsi="Calibri" w:cs="Calibri"/>
          <w:color w:val="auto"/>
          <w:sz w:val="22"/>
          <w:szCs w:val="22"/>
        </w:rPr>
      </w:pPr>
      <w:r w:rsidRPr="00523B65">
        <w:rPr>
          <w:rStyle w:val="Nessuno"/>
          <w:color w:val="595959"/>
          <w:spacing w:val="-1"/>
          <w:sz w:val="22"/>
          <w:szCs w:val="22"/>
        </w:rPr>
        <w:lastRenderedPageBreak/>
        <w:t xml:space="preserve">Grazie a questo nuovo assetto societario, ai risultati positivi e alle prospettive di sviluppo (certificati anche dal miglioramento del suo rating assegnato da </w:t>
      </w:r>
      <w:proofErr w:type="spellStart"/>
      <w:r w:rsidRPr="00523B65">
        <w:rPr>
          <w:i/>
          <w:iCs/>
          <w:color w:val="595959"/>
          <w:spacing w:val="-1"/>
          <w:sz w:val="22"/>
          <w:szCs w:val="22"/>
        </w:rPr>
        <w:t>Fitch</w:t>
      </w:r>
      <w:proofErr w:type="spellEnd"/>
      <w:r w:rsidRPr="00523B65">
        <w:rPr>
          <w:i/>
          <w:iCs/>
          <w:color w:val="595959"/>
          <w:spacing w:val="-1"/>
          <w:sz w:val="22"/>
          <w:szCs w:val="22"/>
        </w:rPr>
        <w:t xml:space="preserve">, </w:t>
      </w:r>
      <w:proofErr w:type="spellStart"/>
      <w:r w:rsidRPr="00523B65">
        <w:rPr>
          <w:i/>
          <w:iCs/>
          <w:color w:val="595959"/>
          <w:spacing w:val="-1"/>
          <w:sz w:val="22"/>
          <w:szCs w:val="22"/>
        </w:rPr>
        <w:t>Moody’s</w:t>
      </w:r>
      <w:proofErr w:type="spellEnd"/>
      <w:r w:rsidRPr="00523B65">
        <w:rPr>
          <w:color w:val="595959"/>
          <w:spacing w:val="-1"/>
          <w:sz w:val="22"/>
          <w:szCs w:val="22"/>
        </w:rPr>
        <w:t xml:space="preserve"> e </w:t>
      </w:r>
      <w:r w:rsidRPr="00523B65">
        <w:rPr>
          <w:i/>
          <w:iCs/>
          <w:color w:val="595959"/>
          <w:spacing w:val="-1"/>
          <w:sz w:val="22"/>
          <w:szCs w:val="22"/>
        </w:rPr>
        <w:t xml:space="preserve">Standard &amp; </w:t>
      </w:r>
      <w:proofErr w:type="spellStart"/>
      <w:r w:rsidRPr="00523B65">
        <w:rPr>
          <w:i/>
          <w:iCs/>
          <w:color w:val="595959"/>
          <w:spacing w:val="-1"/>
          <w:sz w:val="22"/>
          <w:szCs w:val="22"/>
        </w:rPr>
        <w:t>Poor’s</w:t>
      </w:r>
      <w:proofErr w:type="spellEnd"/>
      <w:r w:rsidRPr="00523B65">
        <w:rPr>
          <w:color w:val="595959"/>
          <w:spacing w:val="-1"/>
          <w:sz w:val="22"/>
          <w:szCs w:val="22"/>
        </w:rPr>
        <w:t xml:space="preserve"> pari rispettivamente a BB-, B1 e B+</w:t>
      </w:r>
      <w:r w:rsidRPr="00523B65">
        <w:rPr>
          <w:rStyle w:val="Nessuno"/>
          <w:color w:val="595959"/>
          <w:spacing w:val="-1"/>
          <w:sz w:val="22"/>
          <w:szCs w:val="22"/>
        </w:rPr>
        <w:t>)</w:t>
      </w:r>
      <w:r w:rsidRPr="00523B65">
        <w:rPr>
          <w:rStyle w:val="Rimandonotaapidipagina"/>
          <w:color w:val="595959"/>
          <w:spacing w:val="-1"/>
          <w:sz w:val="22"/>
          <w:szCs w:val="22"/>
        </w:rPr>
        <w:footnoteReference w:customMarkFollows="1" w:id="1"/>
        <w:t>[1]</w:t>
      </w:r>
      <w:r w:rsidRPr="00523B65">
        <w:rPr>
          <w:rStyle w:val="Nessuno"/>
          <w:color w:val="595959"/>
          <w:spacing w:val="-1"/>
          <w:sz w:val="22"/>
          <w:szCs w:val="22"/>
        </w:rPr>
        <w:t xml:space="preserve">, </w:t>
      </w:r>
      <w:proofErr w:type="spellStart"/>
      <w:r w:rsidRPr="00523B65">
        <w:rPr>
          <w:b/>
          <w:bCs/>
          <w:color w:val="595959"/>
          <w:spacing w:val="-1"/>
          <w:sz w:val="22"/>
          <w:szCs w:val="22"/>
        </w:rPr>
        <w:t>Nexi</w:t>
      </w:r>
      <w:proofErr w:type="spellEnd"/>
      <w:r w:rsidRPr="00523B65">
        <w:rPr>
          <w:color w:val="595959"/>
          <w:spacing w:val="-1"/>
          <w:sz w:val="22"/>
          <w:szCs w:val="22"/>
        </w:rPr>
        <w:t xml:space="preserve"> ha deciso di cogliere l’opportunità, offerta dall’attuale positiva finestra di mercato, di rifinanziare il debito, contratto nel corso degli anni dagli azionisti (</w:t>
      </w:r>
      <w:proofErr w:type="spellStart"/>
      <w:r w:rsidRPr="00523B65">
        <w:rPr>
          <w:i/>
          <w:iCs/>
          <w:color w:val="595959"/>
          <w:spacing w:val="-1"/>
          <w:sz w:val="22"/>
          <w:szCs w:val="22"/>
        </w:rPr>
        <w:t>Advent</w:t>
      </w:r>
      <w:proofErr w:type="spellEnd"/>
      <w:r w:rsidRPr="00523B65">
        <w:rPr>
          <w:i/>
          <w:iCs/>
          <w:color w:val="595959"/>
          <w:spacing w:val="-1"/>
          <w:sz w:val="22"/>
          <w:szCs w:val="22"/>
        </w:rPr>
        <w:t xml:space="preserve"> International</w:t>
      </w:r>
      <w:r w:rsidRPr="00523B65">
        <w:rPr>
          <w:color w:val="595959"/>
          <w:spacing w:val="-1"/>
          <w:sz w:val="22"/>
          <w:szCs w:val="22"/>
        </w:rPr>
        <w:t xml:space="preserve">, </w:t>
      </w:r>
      <w:r w:rsidRPr="00523B65">
        <w:rPr>
          <w:i/>
          <w:iCs/>
          <w:color w:val="595959"/>
          <w:spacing w:val="-1"/>
          <w:sz w:val="22"/>
          <w:szCs w:val="22"/>
        </w:rPr>
        <w:t>Bain Capital</w:t>
      </w:r>
      <w:r w:rsidRPr="00523B65">
        <w:rPr>
          <w:color w:val="595959"/>
          <w:spacing w:val="-1"/>
          <w:sz w:val="22"/>
          <w:szCs w:val="22"/>
        </w:rPr>
        <w:t xml:space="preserve"> e </w:t>
      </w:r>
      <w:r w:rsidRPr="00523B65">
        <w:rPr>
          <w:i/>
          <w:iCs/>
          <w:color w:val="595959"/>
          <w:spacing w:val="-1"/>
          <w:sz w:val="22"/>
          <w:szCs w:val="22"/>
        </w:rPr>
        <w:t xml:space="preserve">Clessidra </w:t>
      </w:r>
      <w:proofErr w:type="spellStart"/>
      <w:r w:rsidRPr="00523B65">
        <w:rPr>
          <w:i/>
          <w:iCs/>
          <w:color w:val="595959"/>
          <w:spacing w:val="-1"/>
          <w:sz w:val="22"/>
          <w:szCs w:val="22"/>
        </w:rPr>
        <w:t>Sgr</w:t>
      </w:r>
      <w:proofErr w:type="spellEnd"/>
      <w:r w:rsidRPr="00523B65">
        <w:rPr>
          <w:color w:val="595959"/>
          <w:spacing w:val="-1"/>
          <w:sz w:val="22"/>
          <w:szCs w:val="22"/>
        </w:rPr>
        <w:t xml:space="preserve">), a nuove condizioni che risulterebbero più vantaggiose. Il rifinanziamento del debito verrà realizzato attraverso una nuova emissione obbligazionaria del valore complessivo </w:t>
      </w:r>
      <w:r w:rsidRPr="00523B65">
        <w:rPr>
          <w:color w:val="595959"/>
          <w:spacing w:val="-1"/>
          <w:sz w:val="22"/>
          <w:szCs w:val="22"/>
        </w:rPr>
        <w:br/>
        <w:t xml:space="preserve">di 2,6 miliardi di euro che rimborserà integralmente tutte le precedenti emissioni.  </w:t>
      </w:r>
    </w:p>
    <w:p w:rsidR="00F71697" w:rsidRPr="00523B65" w:rsidRDefault="00523B65" w:rsidP="00523B65">
      <w:pPr>
        <w:rPr>
          <w:sz w:val="22"/>
          <w:szCs w:val="22"/>
        </w:rPr>
      </w:pPr>
      <w:r w:rsidRPr="00523B65">
        <w:rPr>
          <w:sz w:val="22"/>
          <w:szCs w:val="22"/>
        </w:rPr>
        <w:t> </w:t>
      </w:r>
    </w:p>
    <w:p w:rsidR="00F71697" w:rsidRPr="00B009D5" w:rsidRDefault="006A5EDA" w:rsidP="00F71697">
      <w:pPr>
        <w:tabs>
          <w:tab w:val="num" w:pos="720"/>
        </w:tabs>
        <w:spacing w:line="260" w:lineRule="exact"/>
        <w:jc w:val="both"/>
        <w:rPr>
          <w:color w:val="595959" w:themeColor="text1" w:themeTint="A6"/>
          <w:spacing w:val="-1"/>
          <w:sz w:val="22"/>
          <w:szCs w:val="22"/>
          <w:u w:color="75787B"/>
        </w:rPr>
      </w:pPr>
      <w:r w:rsidRPr="00B009D5">
        <w:rPr>
          <w:color w:val="595959" w:themeColor="text1" w:themeTint="A6"/>
          <w:spacing w:val="-1"/>
          <w:sz w:val="22"/>
          <w:szCs w:val="22"/>
          <w:u w:color="75787B"/>
        </w:rPr>
        <w:t>La riorganizzaz</w:t>
      </w:r>
      <w:r w:rsidR="008000FB" w:rsidRPr="00B009D5">
        <w:rPr>
          <w:color w:val="595959" w:themeColor="text1" w:themeTint="A6"/>
          <w:spacing w:val="-1"/>
          <w:sz w:val="22"/>
          <w:szCs w:val="22"/>
          <w:u w:color="75787B"/>
        </w:rPr>
        <w:t>ione societaria darà vita ad un nuovo gruppo</w:t>
      </w:r>
      <w:r w:rsidRPr="00B009D5">
        <w:rPr>
          <w:color w:val="595959" w:themeColor="text1" w:themeTint="A6"/>
          <w:spacing w:val="-1"/>
          <w:sz w:val="22"/>
          <w:szCs w:val="22"/>
          <w:u w:color="75787B"/>
        </w:rPr>
        <w:t xml:space="preserve"> </w:t>
      </w:r>
      <w:proofErr w:type="spellStart"/>
      <w:r w:rsidRPr="00B009D5">
        <w:rPr>
          <w:b/>
          <w:color w:val="595959" w:themeColor="text1" w:themeTint="A6"/>
          <w:spacing w:val="-1"/>
          <w:sz w:val="22"/>
          <w:szCs w:val="22"/>
          <w:u w:color="75787B"/>
        </w:rPr>
        <w:t>Nexi</w:t>
      </w:r>
      <w:proofErr w:type="spellEnd"/>
      <w:r w:rsidRPr="00B009D5">
        <w:rPr>
          <w:color w:val="595959" w:themeColor="text1" w:themeTint="A6"/>
          <w:spacing w:val="-1"/>
          <w:sz w:val="22"/>
          <w:szCs w:val="22"/>
          <w:u w:color="75787B"/>
        </w:rPr>
        <w:t xml:space="preserve"> ch</w:t>
      </w:r>
      <w:bookmarkStart w:id="0" w:name="_GoBack"/>
      <w:bookmarkEnd w:id="0"/>
      <w:r w:rsidRPr="00B009D5">
        <w:rPr>
          <w:color w:val="595959" w:themeColor="text1" w:themeTint="A6"/>
          <w:spacing w:val="-1"/>
          <w:sz w:val="22"/>
          <w:szCs w:val="22"/>
          <w:u w:color="75787B"/>
        </w:rPr>
        <w:t xml:space="preserve">e includerà anche </w:t>
      </w:r>
      <w:r w:rsidR="00F71697" w:rsidRPr="00B009D5">
        <w:rPr>
          <w:b/>
          <w:color w:val="595959" w:themeColor="text1" w:themeTint="A6"/>
          <w:spacing w:val="-1"/>
          <w:sz w:val="22"/>
          <w:szCs w:val="22"/>
          <w:u w:color="75787B"/>
        </w:rPr>
        <w:t xml:space="preserve">Mercury </w:t>
      </w:r>
      <w:proofErr w:type="spellStart"/>
      <w:r w:rsidR="00F71697" w:rsidRPr="00B009D5">
        <w:rPr>
          <w:b/>
          <w:color w:val="595959" w:themeColor="text1" w:themeTint="A6"/>
          <w:spacing w:val="-1"/>
          <w:sz w:val="22"/>
          <w:szCs w:val="22"/>
          <w:u w:color="75787B"/>
        </w:rPr>
        <w:t>Payment</w:t>
      </w:r>
      <w:proofErr w:type="spellEnd"/>
      <w:r w:rsidR="00F71697" w:rsidRPr="00B009D5">
        <w:rPr>
          <w:b/>
          <w:color w:val="595959" w:themeColor="text1" w:themeTint="A6"/>
          <w:spacing w:val="-1"/>
          <w:sz w:val="22"/>
          <w:szCs w:val="22"/>
          <w:u w:color="75787B"/>
        </w:rPr>
        <w:t xml:space="preserve"> Services</w:t>
      </w:r>
      <w:r w:rsidR="00F71697" w:rsidRPr="00B009D5">
        <w:rPr>
          <w:color w:val="595959" w:themeColor="text1" w:themeTint="A6"/>
          <w:spacing w:val="-1"/>
          <w:sz w:val="22"/>
          <w:szCs w:val="22"/>
          <w:u w:color="75787B"/>
        </w:rPr>
        <w:t xml:space="preserve"> (già </w:t>
      </w:r>
      <w:proofErr w:type="spellStart"/>
      <w:r w:rsidR="00F71697" w:rsidRPr="00B009D5">
        <w:rPr>
          <w:color w:val="595959" w:themeColor="text1" w:themeTint="A6"/>
          <w:spacing w:val="-1"/>
          <w:sz w:val="22"/>
          <w:szCs w:val="22"/>
          <w:u w:color="75787B"/>
        </w:rPr>
        <w:t>Setefi</w:t>
      </w:r>
      <w:proofErr w:type="spellEnd"/>
      <w:r w:rsidR="00F71697" w:rsidRPr="00B009D5">
        <w:rPr>
          <w:color w:val="595959" w:themeColor="text1" w:themeTint="A6"/>
          <w:spacing w:val="-1"/>
          <w:sz w:val="22"/>
          <w:szCs w:val="22"/>
          <w:u w:color="75787B"/>
        </w:rPr>
        <w:t xml:space="preserve"> </w:t>
      </w:r>
      <w:proofErr w:type="spellStart"/>
      <w:r w:rsidR="00F71697" w:rsidRPr="00B009D5">
        <w:rPr>
          <w:color w:val="595959" w:themeColor="text1" w:themeTint="A6"/>
          <w:spacing w:val="-1"/>
          <w:sz w:val="22"/>
          <w:szCs w:val="22"/>
          <w:u w:color="75787B"/>
        </w:rPr>
        <w:t>Payment</w:t>
      </w:r>
      <w:proofErr w:type="spellEnd"/>
      <w:r w:rsidR="00F71697" w:rsidRPr="00B009D5">
        <w:rPr>
          <w:color w:val="595959" w:themeColor="text1" w:themeTint="A6"/>
          <w:spacing w:val="-1"/>
          <w:sz w:val="22"/>
          <w:szCs w:val="22"/>
          <w:u w:color="75787B"/>
        </w:rPr>
        <w:t xml:space="preserve"> Services), società acquisita nel 2016 dagli azionisti</w:t>
      </w:r>
      <w:r w:rsidR="008000FB" w:rsidRPr="00B009D5">
        <w:rPr>
          <w:color w:val="595959" w:themeColor="text1" w:themeTint="A6"/>
          <w:spacing w:val="-1"/>
          <w:sz w:val="22"/>
          <w:szCs w:val="22"/>
          <w:u w:color="75787B"/>
        </w:rPr>
        <w:t xml:space="preserve"> di </w:t>
      </w:r>
      <w:proofErr w:type="spellStart"/>
      <w:r w:rsidR="008000FB" w:rsidRPr="00B009D5">
        <w:rPr>
          <w:b/>
          <w:color w:val="595959" w:themeColor="text1" w:themeTint="A6"/>
          <w:spacing w:val="-1"/>
          <w:sz w:val="22"/>
          <w:szCs w:val="22"/>
          <w:u w:color="75787B"/>
        </w:rPr>
        <w:t>Nexi</w:t>
      </w:r>
      <w:proofErr w:type="spellEnd"/>
      <w:r w:rsidR="00F71697" w:rsidRPr="00B009D5">
        <w:rPr>
          <w:color w:val="595959" w:themeColor="text1" w:themeTint="A6"/>
          <w:spacing w:val="-1"/>
          <w:sz w:val="22"/>
          <w:szCs w:val="22"/>
          <w:u w:color="75787B"/>
        </w:rPr>
        <w:t xml:space="preserve">, </w:t>
      </w:r>
      <w:r w:rsidRPr="00B009D5">
        <w:rPr>
          <w:color w:val="595959" w:themeColor="text1" w:themeTint="A6"/>
          <w:spacing w:val="-1"/>
          <w:sz w:val="22"/>
          <w:szCs w:val="22"/>
          <w:u w:color="75787B"/>
        </w:rPr>
        <w:t xml:space="preserve">dando così vita ad una realtà da </w:t>
      </w:r>
      <w:r w:rsidR="00F71697" w:rsidRPr="00B009D5">
        <w:rPr>
          <w:color w:val="595959" w:themeColor="text1" w:themeTint="A6"/>
          <w:spacing w:val="-1"/>
          <w:sz w:val="22"/>
          <w:szCs w:val="22"/>
          <w:u w:color="75787B"/>
        </w:rPr>
        <w:t>950 milioni di euro</w:t>
      </w:r>
      <w:r w:rsidRPr="00B009D5">
        <w:rPr>
          <w:color w:val="595959" w:themeColor="text1" w:themeTint="A6"/>
          <w:spacing w:val="-1"/>
          <w:sz w:val="22"/>
          <w:szCs w:val="22"/>
          <w:u w:color="75787B"/>
        </w:rPr>
        <w:t xml:space="preserve"> di fatturato totalmente focalizzata nello sviluppo dei pagamenti digitali in partnership con le banche e che contribuirà alla modernizzazione e alla digitalizzazione del Paese. </w:t>
      </w:r>
      <w:r w:rsidR="00F71697" w:rsidRPr="00B009D5">
        <w:rPr>
          <w:color w:val="595959" w:themeColor="text1" w:themeTint="A6"/>
          <w:spacing w:val="-1"/>
          <w:sz w:val="22"/>
          <w:szCs w:val="22"/>
          <w:u w:color="75787B"/>
        </w:rPr>
        <w:t xml:space="preserve"> </w:t>
      </w:r>
    </w:p>
    <w:p w:rsidR="00B009D5" w:rsidRPr="00B009D5" w:rsidRDefault="00B009D5" w:rsidP="00F71697">
      <w:pPr>
        <w:tabs>
          <w:tab w:val="num" w:pos="720"/>
        </w:tabs>
        <w:spacing w:line="260" w:lineRule="exact"/>
        <w:jc w:val="both"/>
        <w:rPr>
          <w:color w:val="595959" w:themeColor="text1" w:themeTint="A6"/>
          <w:spacing w:val="-1"/>
          <w:sz w:val="22"/>
          <w:szCs w:val="22"/>
          <w:u w:color="75787B"/>
        </w:rPr>
      </w:pPr>
    </w:p>
    <w:p w:rsidR="00B009D5" w:rsidRPr="00B009D5" w:rsidRDefault="00B009D5" w:rsidP="00F71697">
      <w:pPr>
        <w:tabs>
          <w:tab w:val="num" w:pos="720"/>
        </w:tabs>
        <w:spacing w:line="260" w:lineRule="exact"/>
        <w:jc w:val="both"/>
        <w:rPr>
          <w:color w:val="595959" w:themeColor="text1" w:themeTint="A6"/>
          <w:spacing w:val="-1"/>
          <w:sz w:val="22"/>
          <w:szCs w:val="22"/>
          <w:u w:color="75787B"/>
        </w:rPr>
      </w:pPr>
    </w:p>
    <w:p w:rsidR="00F71697" w:rsidRPr="00E102A6" w:rsidRDefault="00F71697" w:rsidP="00F71697">
      <w:pPr>
        <w:spacing w:line="260" w:lineRule="exact"/>
        <w:jc w:val="both"/>
        <w:rPr>
          <w:color w:val="595959" w:themeColor="text1" w:themeTint="A6"/>
          <w:spacing w:val="-1"/>
          <w:sz w:val="22"/>
          <w:szCs w:val="22"/>
          <w:u w:color="75787B"/>
        </w:rPr>
      </w:pPr>
    </w:p>
    <w:p w:rsidR="00F71697" w:rsidRPr="00BE4E3B" w:rsidRDefault="00F71697" w:rsidP="00F71697">
      <w:pPr>
        <w:pBdr>
          <w:bottom w:val="single" w:sz="6" w:space="0" w:color="000000"/>
        </w:pBd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F71697" w:rsidRPr="00BE4E3B" w:rsidRDefault="00F71697" w:rsidP="00F71697">
      <w:pPr>
        <w:rPr>
          <w:rStyle w:val="Nessuno"/>
          <w:color w:val="75787B"/>
          <w:spacing w:val="-1"/>
          <w:sz w:val="22"/>
          <w:szCs w:val="22"/>
          <w:highlight w:val="yellow"/>
          <w:u w:color="75787B"/>
        </w:rPr>
      </w:pPr>
    </w:p>
    <w:p w:rsidR="00F71697" w:rsidRPr="00BE4E3B" w:rsidRDefault="00F71697" w:rsidP="00F71697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F71697" w:rsidRPr="00FA3805" w:rsidRDefault="00F71697" w:rsidP="00F71697">
      <w:pPr>
        <w:spacing w:line="260" w:lineRule="exact"/>
        <w:jc w:val="both"/>
        <w:rPr>
          <w:rStyle w:val="Nessuno"/>
          <w:b/>
          <w:color w:val="4472C4" w:themeColor="accent1"/>
          <w:spacing w:val="-1"/>
          <w:sz w:val="22"/>
          <w:szCs w:val="22"/>
          <w:u w:color="75787B"/>
        </w:rPr>
      </w:pPr>
      <w:proofErr w:type="spellStart"/>
      <w:r w:rsidRPr="00FA3805">
        <w:rPr>
          <w:rStyle w:val="Nessuno"/>
          <w:b/>
          <w:color w:val="4472C4" w:themeColor="accent1"/>
          <w:spacing w:val="-1"/>
          <w:sz w:val="22"/>
          <w:szCs w:val="22"/>
          <w:u w:color="75787B"/>
        </w:rPr>
        <w:t>External</w:t>
      </w:r>
      <w:proofErr w:type="spellEnd"/>
      <w:r w:rsidRPr="00FA3805">
        <w:rPr>
          <w:rStyle w:val="Nessuno"/>
          <w:b/>
          <w:color w:val="4472C4" w:themeColor="accent1"/>
          <w:spacing w:val="-1"/>
          <w:sz w:val="22"/>
          <w:szCs w:val="22"/>
          <w:u w:color="75787B"/>
        </w:rPr>
        <w:t xml:space="preserve"> </w:t>
      </w:r>
      <w:proofErr w:type="spellStart"/>
      <w:r w:rsidRPr="00FA3805">
        <w:rPr>
          <w:rStyle w:val="Nessuno"/>
          <w:b/>
          <w:color w:val="4472C4" w:themeColor="accent1"/>
          <w:spacing w:val="-1"/>
          <w:sz w:val="22"/>
          <w:szCs w:val="22"/>
          <w:u w:color="75787B"/>
        </w:rPr>
        <w:t>Communication</w:t>
      </w:r>
      <w:proofErr w:type="spellEnd"/>
      <w:r w:rsidRPr="00FA3805">
        <w:rPr>
          <w:rStyle w:val="Nessuno"/>
          <w:b/>
          <w:color w:val="4472C4" w:themeColor="accent1"/>
          <w:spacing w:val="-1"/>
          <w:sz w:val="22"/>
          <w:szCs w:val="22"/>
          <w:u w:color="75787B"/>
        </w:rPr>
        <w:t xml:space="preserve"> &amp; Media Relations - </w:t>
      </w:r>
      <w:proofErr w:type="spellStart"/>
      <w:r w:rsidRPr="00FA3805">
        <w:rPr>
          <w:rStyle w:val="Nessuno"/>
          <w:b/>
          <w:color w:val="4472C4" w:themeColor="accent1"/>
          <w:spacing w:val="-1"/>
          <w:sz w:val="22"/>
          <w:szCs w:val="22"/>
          <w:u w:color="75787B"/>
        </w:rPr>
        <w:t>Nexi</w:t>
      </w:r>
      <w:proofErr w:type="spellEnd"/>
    </w:p>
    <w:p w:rsidR="00F71697" w:rsidRPr="00DF56FB" w:rsidRDefault="00F71697" w:rsidP="00F71697">
      <w:pPr>
        <w:spacing w:line="260" w:lineRule="exact"/>
        <w:jc w:val="both"/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</w:pPr>
    </w:p>
    <w:p w:rsidR="00F71697" w:rsidRPr="00DF56FB" w:rsidRDefault="00F71697" w:rsidP="00F71697">
      <w:pPr>
        <w:spacing w:line="260" w:lineRule="exact"/>
        <w:jc w:val="both"/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</w:pPr>
      <w:r w:rsidRPr="00DF56FB"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  <w:t>Daniele de Sanctis</w:t>
      </w:r>
      <w:r w:rsidRPr="00DF56FB"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  <w:tab/>
      </w:r>
      <w:r w:rsidRPr="00DF56FB"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  <w:tab/>
      </w:r>
      <w:r w:rsidRPr="00DF56FB"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  <w:tab/>
      </w:r>
      <w:r w:rsidRPr="00DF56FB"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  <w:tab/>
      </w:r>
      <w:r w:rsidRPr="00DF56FB"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  <w:tab/>
      </w:r>
    </w:p>
    <w:p w:rsidR="00F71697" w:rsidRPr="00DF56FB" w:rsidRDefault="00F71697" w:rsidP="00F71697">
      <w:pPr>
        <w:spacing w:line="260" w:lineRule="exact"/>
        <w:jc w:val="both"/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</w:pPr>
      <w:r w:rsidRPr="00DF56FB"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  <w:t>346.015.1000</w:t>
      </w:r>
      <w:r w:rsidRPr="00DF56FB"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  <w:tab/>
      </w:r>
      <w:r w:rsidRPr="00DF56FB"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  <w:tab/>
      </w:r>
      <w:r w:rsidRPr="00DF56FB"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  <w:tab/>
      </w:r>
    </w:p>
    <w:p w:rsidR="00F71697" w:rsidRPr="00DF56FB" w:rsidRDefault="00F71697" w:rsidP="00F71697">
      <w:pPr>
        <w:spacing w:line="260" w:lineRule="exact"/>
        <w:jc w:val="both"/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</w:pPr>
      <w:r w:rsidRPr="00DF56FB"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  <w:t>02.3488.4491</w:t>
      </w:r>
    </w:p>
    <w:p w:rsidR="00F71697" w:rsidRPr="00DF56FB" w:rsidRDefault="00BE6C36" w:rsidP="00F71697">
      <w:pPr>
        <w:spacing w:line="260" w:lineRule="exact"/>
        <w:jc w:val="both"/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</w:pPr>
      <w:hyperlink r:id="rId8" w:history="1">
        <w:r w:rsidR="00F71697" w:rsidRPr="00DF56FB">
          <w:rPr>
            <w:rStyle w:val="Nessuno"/>
            <w:color w:val="595959" w:themeColor="text1" w:themeTint="A6"/>
            <w:sz w:val="22"/>
            <w:szCs w:val="22"/>
          </w:rPr>
          <w:t>daniele.desanctis@nexi.it</w:t>
        </w:r>
      </w:hyperlink>
      <w:r w:rsidR="00F71697" w:rsidRPr="00DF56FB"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  <w:tab/>
      </w:r>
      <w:r w:rsidR="00F71697" w:rsidRPr="00DF56FB"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  <w:tab/>
      </w:r>
      <w:r w:rsidR="00F71697" w:rsidRPr="00DF56FB"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  <w:tab/>
      </w:r>
      <w:r w:rsidR="00F71697" w:rsidRPr="00DF56FB"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  <w:tab/>
      </w:r>
      <w:r w:rsidR="00F71697" w:rsidRPr="00DF56FB"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  <w:tab/>
      </w:r>
      <w:r w:rsidR="00F71697" w:rsidRPr="00DF56FB"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  <w:tab/>
      </w:r>
      <w:r w:rsidR="00F71697" w:rsidRPr="00DF56FB"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  <w:tab/>
      </w:r>
      <w:r w:rsidR="00F71697" w:rsidRPr="00DF56FB"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  <w:tab/>
      </w:r>
      <w:r w:rsidR="00F71697" w:rsidRPr="00DF56FB"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  <w:tab/>
      </w:r>
      <w:r w:rsidR="00F71697" w:rsidRPr="00DF56FB"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  <w:tab/>
      </w:r>
      <w:r w:rsidR="00F71697" w:rsidRPr="00DF56FB"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  <w:tab/>
      </w:r>
      <w:r w:rsidR="00F71697" w:rsidRPr="00DF56FB"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  <w:tab/>
      </w:r>
      <w:r w:rsidR="00F71697" w:rsidRPr="00DF56FB"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  <w:tab/>
      </w:r>
      <w:r w:rsidR="00F71697" w:rsidRPr="00DF56FB"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  <w:tab/>
      </w:r>
      <w:r w:rsidR="00F71697" w:rsidRPr="00DF56FB"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  <w:tab/>
      </w:r>
    </w:p>
    <w:p w:rsidR="00F71697" w:rsidRPr="00DF56FB" w:rsidRDefault="00F71697" w:rsidP="00F71697">
      <w:pPr>
        <w:spacing w:line="260" w:lineRule="exact"/>
        <w:jc w:val="both"/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</w:pPr>
      <w:r w:rsidRPr="00DF56FB"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  <w:t>Matteo Abbondanza</w:t>
      </w:r>
    </w:p>
    <w:p w:rsidR="00F71697" w:rsidRPr="00DF56FB" w:rsidRDefault="00F71697" w:rsidP="00F71697">
      <w:pPr>
        <w:spacing w:line="260" w:lineRule="exact"/>
        <w:jc w:val="both"/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</w:pPr>
      <w:r w:rsidRPr="00DF56FB"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  <w:t>348.4068.858</w:t>
      </w:r>
    </w:p>
    <w:p w:rsidR="00F71697" w:rsidRPr="00DF56FB" w:rsidRDefault="00F71697" w:rsidP="00F71697">
      <w:pPr>
        <w:spacing w:line="260" w:lineRule="exact"/>
        <w:jc w:val="both"/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</w:pPr>
      <w:r w:rsidRPr="00DF56FB"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  <w:t>02.3488.2202</w:t>
      </w:r>
    </w:p>
    <w:p w:rsidR="00F71697" w:rsidRPr="00DF56FB" w:rsidRDefault="00F71697" w:rsidP="00F71697">
      <w:pPr>
        <w:spacing w:line="260" w:lineRule="exact"/>
        <w:jc w:val="both"/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</w:pPr>
      <w:r w:rsidRPr="00DF56FB"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  <w:t>matteo.abbondanza@nexi.it</w:t>
      </w:r>
    </w:p>
    <w:p w:rsidR="00F71697" w:rsidRPr="00DF56FB" w:rsidRDefault="00F71697" w:rsidP="00F71697">
      <w:pPr>
        <w:spacing w:line="260" w:lineRule="exact"/>
        <w:jc w:val="both"/>
        <w:rPr>
          <w:rStyle w:val="Nessuno"/>
          <w:color w:val="595959" w:themeColor="text1" w:themeTint="A6"/>
          <w:spacing w:val="-1"/>
          <w:sz w:val="22"/>
          <w:szCs w:val="22"/>
          <w:u w:color="75787B"/>
        </w:rPr>
      </w:pPr>
    </w:p>
    <w:p w:rsidR="00F71697" w:rsidRDefault="00F71697" w:rsidP="00F71697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2D2E9E" w:rsidRDefault="002D2E9E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2D2E9E" w:rsidRDefault="002D2E9E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2D2E9E" w:rsidRDefault="002D2E9E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2D2E9E" w:rsidRDefault="002D2E9E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2D2E9E" w:rsidRDefault="002D2E9E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2D2E9E" w:rsidRDefault="002D2E9E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2D2E9E" w:rsidRDefault="002D2E9E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2D2E9E" w:rsidRDefault="002D2E9E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2D2E9E" w:rsidRDefault="002D2E9E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sectPr w:rsidR="002D2E9E">
      <w:headerReference w:type="default" r:id="rId9"/>
      <w:pgSz w:w="11900" w:h="16840"/>
      <w:pgMar w:top="2269" w:right="1701" w:bottom="226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C36" w:rsidRDefault="00BE6C36">
      <w:pPr>
        <w:spacing w:line="240" w:lineRule="auto"/>
      </w:pPr>
      <w:r>
        <w:separator/>
      </w:r>
    </w:p>
  </w:endnote>
  <w:endnote w:type="continuationSeparator" w:id="0">
    <w:p w:rsidR="00BE6C36" w:rsidRDefault="00BE6C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C36" w:rsidRDefault="00BE6C36">
      <w:pPr>
        <w:spacing w:line="240" w:lineRule="auto"/>
      </w:pPr>
      <w:r>
        <w:separator/>
      </w:r>
    </w:p>
  </w:footnote>
  <w:footnote w:type="continuationSeparator" w:id="0">
    <w:p w:rsidR="00BE6C36" w:rsidRDefault="00BE6C36">
      <w:pPr>
        <w:spacing w:line="240" w:lineRule="auto"/>
      </w:pPr>
      <w:r>
        <w:continuationSeparator/>
      </w:r>
    </w:p>
  </w:footnote>
  <w:footnote w:id="1">
    <w:p w:rsidR="00523B65" w:rsidRDefault="00523B65" w:rsidP="00523B65">
      <w:pPr>
        <w:pStyle w:val="Testonotaapidipagina"/>
        <w:jc w:val="both"/>
      </w:pPr>
      <w:r>
        <w:rPr>
          <w:rStyle w:val="Rimandonotaapidipagina"/>
        </w:rPr>
        <w:t>[1]</w:t>
      </w:r>
      <w:r>
        <w:t xml:space="preserve">          </w:t>
      </w:r>
      <w:r>
        <w:rPr>
          <w:rStyle w:val="Nessuno"/>
          <w:color w:val="595959"/>
          <w:spacing w:val="-1"/>
        </w:rPr>
        <w:t xml:space="preserve">Una valutazione di </w:t>
      </w:r>
      <w:r>
        <w:rPr>
          <w:rStyle w:val="Nessuno"/>
          <w:i/>
          <w:iCs/>
          <w:color w:val="595959"/>
          <w:spacing w:val="-1"/>
        </w:rPr>
        <w:t>rating</w:t>
      </w:r>
      <w:r>
        <w:rPr>
          <w:rStyle w:val="Nessuno"/>
          <w:color w:val="595959"/>
          <w:spacing w:val="-1"/>
        </w:rPr>
        <w:t xml:space="preserve"> non è una raccomandazione di acquistare, vendere o detenere obbligazioni e può essere soggetta a revisione o ritiro in qualsiasi momento.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9A6" w:rsidRDefault="000A6F97">
    <w:pPr>
      <w:pStyle w:val="Intestazione"/>
      <w:tabs>
        <w:tab w:val="clear" w:pos="9638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30480</wp:posOffset>
          </wp:positionV>
          <wp:extent cx="7561156" cy="731954"/>
          <wp:effectExtent l="0" t="0" r="0" b="0"/>
          <wp:wrapNone/>
          <wp:docPr id="1073741825" name="officeArt object" descr="Intestata_Nexi_Loghi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estata_Nexi_Loghi_RGB.jpg" descr="Intestata_Nexi_Loghi_RGB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56" cy="7319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3849"/>
    <w:multiLevelType w:val="hybridMultilevel"/>
    <w:tmpl w:val="3F5C11DE"/>
    <w:numStyleLink w:val="Stileimportato1"/>
  </w:abstractNum>
  <w:abstractNum w:abstractNumId="1" w15:restartNumberingAfterBreak="0">
    <w:nsid w:val="0A725F06"/>
    <w:multiLevelType w:val="hybridMultilevel"/>
    <w:tmpl w:val="7A429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21B6"/>
    <w:multiLevelType w:val="hybridMultilevel"/>
    <w:tmpl w:val="D1DEF308"/>
    <w:lvl w:ilvl="0" w:tplc="15944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349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CC4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EAA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CB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A5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CF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2AB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201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054C6F"/>
    <w:multiLevelType w:val="hybridMultilevel"/>
    <w:tmpl w:val="F2EAC60E"/>
    <w:lvl w:ilvl="0" w:tplc="B3263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F6A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89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41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20D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F8E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60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61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4A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B46884"/>
    <w:multiLevelType w:val="hybridMultilevel"/>
    <w:tmpl w:val="BD8AFA62"/>
    <w:lvl w:ilvl="0" w:tplc="2C1EF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68CAD6">
      <w:start w:val="1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E3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4F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229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EC8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EE1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629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23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3DB47F1"/>
    <w:multiLevelType w:val="hybridMultilevel"/>
    <w:tmpl w:val="3F5C11DE"/>
    <w:styleLink w:val="Stileimportato1"/>
    <w:lvl w:ilvl="0" w:tplc="CBAE9052">
      <w:start w:val="1"/>
      <w:numFmt w:val="bullet"/>
      <w:lvlText w:val="-"/>
      <w:lvlJc w:val="left"/>
      <w:pPr>
        <w:ind w:left="4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3E2086">
      <w:start w:val="1"/>
      <w:numFmt w:val="bullet"/>
      <w:lvlText w:val="o"/>
      <w:lvlJc w:val="left"/>
      <w:pPr>
        <w:ind w:left="11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120330">
      <w:start w:val="1"/>
      <w:numFmt w:val="bullet"/>
      <w:lvlText w:val="▪"/>
      <w:lvlJc w:val="left"/>
      <w:pPr>
        <w:ind w:left="18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F22B28">
      <w:start w:val="1"/>
      <w:numFmt w:val="bullet"/>
      <w:lvlText w:val="•"/>
      <w:lvlJc w:val="left"/>
      <w:pPr>
        <w:ind w:left="25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344604">
      <w:start w:val="1"/>
      <w:numFmt w:val="bullet"/>
      <w:lvlText w:val="o"/>
      <w:lvlJc w:val="left"/>
      <w:pPr>
        <w:ind w:left="33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EF706">
      <w:start w:val="1"/>
      <w:numFmt w:val="bullet"/>
      <w:lvlText w:val="▪"/>
      <w:lvlJc w:val="left"/>
      <w:pPr>
        <w:ind w:left="40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208CB6">
      <w:start w:val="1"/>
      <w:numFmt w:val="bullet"/>
      <w:lvlText w:val="•"/>
      <w:lvlJc w:val="left"/>
      <w:pPr>
        <w:ind w:left="47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C86A42">
      <w:start w:val="1"/>
      <w:numFmt w:val="bullet"/>
      <w:lvlText w:val="o"/>
      <w:lvlJc w:val="left"/>
      <w:pPr>
        <w:ind w:left="54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3EF3AE">
      <w:start w:val="1"/>
      <w:numFmt w:val="bullet"/>
      <w:lvlText w:val="▪"/>
      <w:lvlJc w:val="left"/>
      <w:pPr>
        <w:ind w:left="61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C8658D4"/>
    <w:multiLevelType w:val="hybridMultilevel"/>
    <w:tmpl w:val="F1107868"/>
    <w:lvl w:ilvl="0" w:tplc="C0224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CED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DAB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EA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927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742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E83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81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182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D745D97"/>
    <w:multiLevelType w:val="hybridMultilevel"/>
    <w:tmpl w:val="54162C90"/>
    <w:lvl w:ilvl="0" w:tplc="E9B2F2A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9205618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DE0F0E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06A1AD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88CEF0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F340CA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CF08D9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F6620D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8B833F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67D530E0"/>
    <w:multiLevelType w:val="hybridMultilevel"/>
    <w:tmpl w:val="5C0EF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34A50"/>
    <w:multiLevelType w:val="hybridMultilevel"/>
    <w:tmpl w:val="5DE6B402"/>
    <w:lvl w:ilvl="0" w:tplc="40962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EA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3ED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8A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065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40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28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7C2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6F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0"/>
    <w:lvlOverride w:ilvl="0">
      <w:lvl w:ilvl="0" w:tplc="F236A706">
        <w:start w:val="1"/>
        <w:numFmt w:val="bullet"/>
        <w:lvlText w:val="-"/>
        <w:lvlJc w:val="left"/>
        <w:pPr>
          <w:ind w:left="4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36675E">
        <w:start w:val="1"/>
        <w:numFmt w:val="bullet"/>
        <w:lvlText w:val="o"/>
        <w:lvlJc w:val="left"/>
        <w:pPr>
          <w:ind w:left="11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E23018">
        <w:start w:val="1"/>
        <w:numFmt w:val="bullet"/>
        <w:lvlText w:val="▪"/>
        <w:lvlJc w:val="left"/>
        <w:pPr>
          <w:ind w:left="18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4C6AF2">
        <w:start w:val="1"/>
        <w:numFmt w:val="bullet"/>
        <w:lvlText w:val="•"/>
        <w:lvlJc w:val="left"/>
        <w:pPr>
          <w:ind w:left="25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C2E600">
        <w:start w:val="1"/>
        <w:numFmt w:val="bullet"/>
        <w:lvlText w:val="o"/>
        <w:lvlJc w:val="left"/>
        <w:pPr>
          <w:ind w:left="33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CA8CAC">
        <w:start w:val="1"/>
        <w:numFmt w:val="bullet"/>
        <w:lvlText w:val="▪"/>
        <w:lvlJc w:val="left"/>
        <w:pPr>
          <w:ind w:left="40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90FA68">
        <w:start w:val="1"/>
        <w:numFmt w:val="bullet"/>
        <w:lvlText w:val="•"/>
        <w:lvlJc w:val="left"/>
        <w:pPr>
          <w:ind w:left="47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E26238">
        <w:start w:val="1"/>
        <w:numFmt w:val="bullet"/>
        <w:lvlText w:val="o"/>
        <w:lvlJc w:val="left"/>
        <w:pPr>
          <w:ind w:left="54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F58C836">
        <w:start w:val="1"/>
        <w:numFmt w:val="bullet"/>
        <w:lvlText w:val="▪"/>
        <w:lvlJc w:val="left"/>
        <w:pPr>
          <w:ind w:left="61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A6"/>
    <w:rsid w:val="00021812"/>
    <w:rsid w:val="000445BB"/>
    <w:rsid w:val="0006124A"/>
    <w:rsid w:val="00087762"/>
    <w:rsid w:val="0009149A"/>
    <w:rsid w:val="000A2470"/>
    <w:rsid w:val="000A6F97"/>
    <w:rsid w:val="000A72DC"/>
    <w:rsid w:val="000D0D11"/>
    <w:rsid w:val="000E0176"/>
    <w:rsid w:val="000F26D7"/>
    <w:rsid w:val="00107BA1"/>
    <w:rsid w:val="001223EF"/>
    <w:rsid w:val="00142B79"/>
    <w:rsid w:val="00165659"/>
    <w:rsid w:val="00166232"/>
    <w:rsid w:val="00185384"/>
    <w:rsid w:val="001D1827"/>
    <w:rsid w:val="001E2A82"/>
    <w:rsid w:val="001F2CCF"/>
    <w:rsid w:val="002550D3"/>
    <w:rsid w:val="00263443"/>
    <w:rsid w:val="00294401"/>
    <w:rsid w:val="00296C44"/>
    <w:rsid w:val="002C4DD9"/>
    <w:rsid w:val="002D2E9E"/>
    <w:rsid w:val="003020FC"/>
    <w:rsid w:val="00302628"/>
    <w:rsid w:val="0032148B"/>
    <w:rsid w:val="003350B7"/>
    <w:rsid w:val="00346076"/>
    <w:rsid w:val="003505E2"/>
    <w:rsid w:val="00355FA7"/>
    <w:rsid w:val="00361EAD"/>
    <w:rsid w:val="003628E2"/>
    <w:rsid w:val="003707A9"/>
    <w:rsid w:val="003862FD"/>
    <w:rsid w:val="003B5337"/>
    <w:rsid w:val="003B5E26"/>
    <w:rsid w:val="003C706C"/>
    <w:rsid w:val="003E2CB6"/>
    <w:rsid w:val="00407055"/>
    <w:rsid w:val="004554A3"/>
    <w:rsid w:val="00470175"/>
    <w:rsid w:val="00471094"/>
    <w:rsid w:val="004770E5"/>
    <w:rsid w:val="00494FD0"/>
    <w:rsid w:val="004B1BE6"/>
    <w:rsid w:val="004C2E57"/>
    <w:rsid w:val="004E7056"/>
    <w:rsid w:val="004F7F48"/>
    <w:rsid w:val="00523B65"/>
    <w:rsid w:val="00523F60"/>
    <w:rsid w:val="00590627"/>
    <w:rsid w:val="005A47BC"/>
    <w:rsid w:val="005A4EBC"/>
    <w:rsid w:val="005B67D9"/>
    <w:rsid w:val="005C5E4D"/>
    <w:rsid w:val="005E1526"/>
    <w:rsid w:val="005F2456"/>
    <w:rsid w:val="00614AC4"/>
    <w:rsid w:val="0063675B"/>
    <w:rsid w:val="006470AA"/>
    <w:rsid w:val="0065621F"/>
    <w:rsid w:val="00656C8F"/>
    <w:rsid w:val="006677CA"/>
    <w:rsid w:val="006A5EDA"/>
    <w:rsid w:val="006D67EE"/>
    <w:rsid w:val="006F7950"/>
    <w:rsid w:val="00701137"/>
    <w:rsid w:val="0072741C"/>
    <w:rsid w:val="00735132"/>
    <w:rsid w:val="00742565"/>
    <w:rsid w:val="00750182"/>
    <w:rsid w:val="0076490F"/>
    <w:rsid w:val="007949D3"/>
    <w:rsid w:val="007B7D61"/>
    <w:rsid w:val="007D22A2"/>
    <w:rsid w:val="007E3C92"/>
    <w:rsid w:val="007E3E34"/>
    <w:rsid w:val="007F31AA"/>
    <w:rsid w:val="008000FB"/>
    <w:rsid w:val="00851641"/>
    <w:rsid w:val="008564DB"/>
    <w:rsid w:val="0088221E"/>
    <w:rsid w:val="008F7967"/>
    <w:rsid w:val="0091078F"/>
    <w:rsid w:val="00910C52"/>
    <w:rsid w:val="00913598"/>
    <w:rsid w:val="009322E2"/>
    <w:rsid w:val="00936C60"/>
    <w:rsid w:val="00970830"/>
    <w:rsid w:val="009A43B6"/>
    <w:rsid w:val="009B570B"/>
    <w:rsid w:val="009F192C"/>
    <w:rsid w:val="009F509D"/>
    <w:rsid w:val="009F555D"/>
    <w:rsid w:val="00A00D08"/>
    <w:rsid w:val="00A151AB"/>
    <w:rsid w:val="00A3678C"/>
    <w:rsid w:val="00A44E21"/>
    <w:rsid w:val="00A76F70"/>
    <w:rsid w:val="00A94FA6"/>
    <w:rsid w:val="00AA1564"/>
    <w:rsid w:val="00AA4C0D"/>
    <w:rsid w:val="00AB44B4"/>
    <w:rsid w:val="00AD5AF4"/>
    <w:rsid w:val="00AF42FD"/>
    <w:rsid w:val="00B009D5"/>
    <w:rsid w:val="00B14155"/>
    <w:rsid w:val="00B3268E"/>
    <w:rsid w:val="00B66699"/>
    <w:rsid w:val="00B67AD7"/>
    <w:rsid w:val="00BB21F5"/>
    <w:rsid w:val="00BD046D"/>
    <w:rsid w:val="00BD1A41"/>
    <w:rsid w:val="00BD2994"/>
    <w:rsid w:val="00BD4175"/>
    <w:rsid w:val="00BE6C36"/>
    <w:rsid w:val="00C26AE2"/>
    <w:rsid w:val="00C27099"/>
    <w:rsid w:val="00C6200D"/>
    <w:rsid w:val="00C818CB"/>
    <w:rsid w:val="00C82204"/>
    <w:rsid w:val="00CC6246"/>
    <w:rsid w:val="00CD1108"/>
    <w:rsid w:val="00CD2EE0"/>
    <w:rsid w:val="00CE17C0"/>
    <w:rsid w:val="00CE36AC"/>
    <w:rsid w:val="00CE76A6"/>
    <w:rsid w:val="00CF4DD7"/>
    <w:rsid w:val="00D02BAB"/>
    <w:rsid w:val="00D16886"/>
    <w:rsid w:val="00D17BC9"/>
    <w:rsid w:val="00D213A5"/>
    <w:rsid w:val="00D559A6"/>
    <w:rsid w:val="00D65324"/>
    <w:rsid w:val="00DB7387"/>
    <w:rsid w:val="00DC27D1"/>
    <w:rsid w:val="00DE2574"/>
    <w:rsid w:val="00DE3407"/>
    <w:rsid w:val="00DF56FB"/>
    <w:rsid w:val="00E102A6"/>
    <w:rsid w:val="00E31A74"/>
    <w:rsid w:val="00E46DB0"/>
    <w:rsid w:val="00E572A7"/>
    <w:rsid w:val="00E80B0B"/>
    <w:rsid w:val="00E859AD"/>
    <w:rsid w:val="00E86B4A"/>
    <w:rsid w:val="00E8732D"/>
    <w:rsid w:val="00E92F0A"/>
    <w:rsid w:val="00EA2F70"/>
    <w:rsid w:val="00ED6B2E"/>
    <w:rsid w:val="00F55744"/>
    <w:rsid w:val="00F71697"/>
    <w:rsid w:val="00FA3805"/>
    <w:rsid w:val="00FA4C61"/>
    <w:rsid w:val="00FD4DF3"/>
    <w:rsid w:val="00FE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8FA21-6207-4939-8D23-ECC4B6FE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220" w:lineRule="exact"/>
    </w:pPr>
    <w:rPr>
      <w:rFonts w:ascii="Arial" w:hAnsi="Arial"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Arial" w:hAnsi="Arial"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Pr>
      <w:lang w:val="it-IT"/>
    </w:rPr>
  </w:style>
  <w:style w:type="paragraph" w:styleId="Paragrafoelenco">
    <w:name w:val="List Paragraph"/>
    <w:pPr>
      <w:spacing w:line="220" w:lineRule="exact"/>
      <w:ind w:left="720"/>
    </w:pPr>
    <w:rPr>
      <w:rFonts w:ascii="Arial" w:hAnsi="Arial"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spacing w:val="-1"/>
      <w:sz w:val="22"/>
      <w:szCs w:val="22"/>
      <w:u w:val="single" w:color="0563C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C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CCF"/>
    <w:rPr>
      <w:rFonts w:ascii="Segoe UI" w:hAnsi="Segoe UI" w:cs="Segoe UI"/>
      <w:color w:val="000000"/>
      <w:sz w:val="18"/>
      <w:szCs w:val="18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09D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09D5"/>
    <w:rPr>
      <w:rFonts w:ascii="Arial" w:hAnsi="Arial"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09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141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05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54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325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799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e.desanctis@nex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05D32-5740-434C-BD58-F954FF4B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Abbondanza Matteo</dc:creator>
  <cp:keywords/>
  <dc:description/>
  <cp:lastModifiedBy>de Sanctis Daniele</cp:lastModifiedBy>
  <cp:revision>2</cp:revision>
  <cp:lastPrinted>2018-04-27T15:59:00Z</cp:lastPrinted>
  <dcterms:created xsi:type="dcterms:W3CDTF">2018-04-29T10:36:00Z</dcterms:created>
  <dcterms:modified xsi:type="dcterms:W3CDTF">2018-04-29T10:36:00Z</dcterms:modified>
</cp:coreProperties>
</file>