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731" w:rsidRPr="000A152B" w:rsidRDefault="006E1731" w:rsidP="006E1731">
      <w:pPr>
        <w:spacing w:line="260" w:lineRule="exact"/>
        <w:jc w:val="center"/>
        <w:rPr>
          <w:rStyle w:val="Nessuno"/>
          <w:color w:val="808080" w:themeColor="background1" w:themeShade="80"/>
          <w:spacing w:val="-1"/>
          <w:sz w:val="22"/>
          <w:szCs w:val="22"/>
          <w:u w:val="single" w:color="75787B"/>
          <w:lang w:val="en-GB"/>
        </w:rPr>
      </w:pPr>
      <w:r w:rsidRPr="000A152B">
        <w:rPr>
          <w:rStyle w:val="Nessuno"/>
          <w:color w:val="808080" w:themeColor="background1" w:themeShade="80"/>
          <w:spacing w:val="-1"/>
          <w:sz w:val="22"/>
          <w:szCs w:val="22"/>
          <w:u w:val="single" w:color="75787B"/>
          <w:lang w:val="en-GB"/>
        </w:rPr>
        <w:t>Press release</w:t>
      </w:r>
      <w:r w:rsidRPr="000A152B">
        <w:rPr>
          <w:rStyle w:val="Nessuno"/>
          <w:rFonts w:ascii="Arial Unicode MS" w:hAnsi="Arial Unicode MS"/>
          <w:color w:val="808080" w:themeColor="background1" w:themeShade="80"/>
          <w:spacing w:val="-1"/>
          <w:sz w:val="22"/>
          <w:szCs w:val="22"/>
          <w:u w:val="single" w:color="75787B"/>
          <w:lang w:val="en-GB"/>
        </w:rPr>
        <w:br/>
      </w:r>
    </w:p>
    <w:p w:rsidR="006E1731" w:rsidRPr="000A152B" w:rsidRDefault="006E1731" w:rsidP="006E1731">
      <w:pPr>
        <w:spacing w:line="260" w:lineRule="exact"/>
        <w:jc w:val="center"/>
        <w:rPr>
          <w:rStyle w:val="Nessuno"/>
          <w:b/>
          <w:color w:val="808080" w:themeColor="background1" w:themeShade="80"/>
          <w:spacing w:val="-1"/>
          <w:sz w:val="24"/>
          <w:szCs w:val="24"/>
          <w:u w:color="75787B"/>
          <w:lang w:val="en-GB"/>
        </w:rPr>
      </w:pPr>
      <w:r w:rsidRPr="000A152B">
        <w:rPr>
          <w:rStyle w:val="Nessuno"/>
          <w:b/>
          <w:color w:val="808080" w:themeColor="background1" w:themeShade="80"/>
          <w:spacing w:val="-1"/>
          <w:sz w:val="24"/>
          <w:szCs w:val="24"/>
          <w:u w:color="75787B"/>
          <w:lang w:val="en-GB"/>
        </w:rPr>
        <w:t>2017 financial statements approved: revenues and investments are growing</w:t>
      </w:r>
    </w:p>
    <w:p w:rsidR="006E1731" w:rsidRPr="000A152B" w:rsidRDefault="006E1731" w:rsidP="006E1731">
      <w:pPr>
        <w:spacing w:line="260" w:lineRule="exact"/>
        <w:rPr>
          <w:rStyle w:val="Nessuno"/>
          <w:color w:val="808080" w:themeColor="background1" w:themeShade="80"/>
          <w:spacing w:val="-1"/>
          <w:sz w:val="22"/>
          <w:szCs w:val="22"/>
          <w:u w:color="75787B"/>
          <w:lang w:val="en-GB"/>
        </w:rPr>
      </w:pPr>
    </w:p>
    <w:p w:rsidR="006E1731" w:rsidRPr="000A152B" w:rsidRDefault="006E1731" w:rsidP="006E1731">
      <w:pPr>
        <w:spacing w:after="120" w:line="240" w:lineRule="exact"/>
        <w:jc w:val="center"/>
        <w:rPr>
          <w:rStyle w:val="Nessuno"/>
          <w:i/>
          <w:color w:val="808080" w:themeColor="background1" w:themeShade="80"/>
          <w:spacing w:val="-1"/>
          <w:sz w:val="22"/>
          <w:szCs w:val="22"/>
          <w:u w:color="75787B"/>
          <w:lang w:val="en-GB"/>
        </w:rPr>
      </w:pPr>
      <w:r w:rsidRPr="000A152B">
        <w:rPr>
          <w:rStyle w:val="Nessuno"/>
          <w:i/>
          <w:color w:val="808080" w:themeColor="background1" w:themeShade="80"/>
          <w:spacing w:val="-1"/>
          <w:sz w:val="22"/>
          <w:szCs w:val="22"/>
          <w:u w:color="75787B"/>
          <w:lang w:val="en-GB"/>
        </w:rPr>
        <w:t>Revenues amounted to € 855.9 million, +6.6% net of acquisitions</w:t>
      </w:r>
    </w:p>
    <w:p w:rsidR="006E1731" w:rsidRPr="000A152B" w:rsidRDefault="006E1731" w:rsidP="006E1731">
      <w:pPr>
        <w:spacing w:after="120" w:line="240" w:lineRule="exact"/>
        <w:jc w:val="center"/>
        <w:rPr>
          <w:rStyle w:val="Nessuno"/>
          <w:i/>
          <w:color w:val="808080" w:themeColor="background1" w:themeShade="80"/>
          <w:spacing w:val="-1"/>
          <w:sz w:val="22"/>
          <w:szCs w:val="22"/>
          <w:u w:color="75787B"/>
          <w:lang w:val="en-GB"/>
        </w:rPr>
      </w:pPr>
      <w:r w:rsidRPr="000A152B">
        <w:rPr>
          <w:rStyle w:val="Nessuno"/>
          <w:i/>
          <w:color w:val="808080" w:themeColor="background1" w:themeShade="80"/>
          <w:spacing w:val="-1"/>
          <w:sz w:val="22"/>
          <w:szCs w:val="22"/>
          <w:u w:color="75787B"/>
          <w:lang w:val="en-GB"/>
        </w:rPr>
        <w:t xml:space="preserve">Investments of € 97.5 million, +64% </w:t>
      </w:r>
      <w:r w:rsidR="003C0270">
        <w:rPr>
          <w:rStyle w:val="Nessuno"/>
          <w:i/>
          <w:color w:val="808080" w:themeColor="background1" w:themeShade="80"/>
          <w:spacing w:val="-1"/>
          <w:sz w:val="22"/>
          <w:szCs w:val="22"/>
          <w:u w:color="75787B"/>
          <w:lang w:val="en-GB"/>
        </w:rPr>
        <w:t>vs.</w:t>
      </w:r>
      <w:r w:rsidRPr="000A152B">
        <w:rPr>
          <w:rStyle w:val="Nessuno"/>
          <w:i/>
          <w:color w:val="808080" w:themeColor="background1" w:themeShade="80"/>
          <w:spacing w:val="-1"/>
          <w:sz w:val="22"/>
          <w:szCs w:val="22"/>
          <w:u w:color="75787B"/>
          <w:lang w:val="en-GB"/>
        </w:rPr>
        <w:t xml:space="preserve"> previous year</w:t>
      </w:r>
    </w:p>
    <w:p w:rsidR="006E1731" w:rsidRPr="000A152B" w:rsidRDefault="006E1731" w:rsidP="006E1731">
      <w:pPr>
        <w:spacing w:after="120" w:line="240" w:lineRule="exact"/>
        <w:jc w:val="center"/>
        <w:rPr>
          <w:rStyle w:val="Nessuno"/>
          <w:i/>
          <w:color w:val="808080" w:themeColor="background1" w:themeShade="80"/>
          <w:spacing w:val="-1"/>
          <w:sz w:val="22"/>
          <w:szCs w:val="22"/>
          <w:u w:color="75787B"/>
          <w:lang w:val="en-GB"/>
        </w:rPr>
      </w:pPr>
      <w:r w:rsidRPr="000A152B">
        <w:rPr>
          <w:rStyle w:val="Nessuno"/>
          <w:i/>
          <w:color w:val="808080" w:themeColor="background1" w:themeShade="80"/>
          <w:spacing w:val="-1"/>
          <w:sz w:val="22"/>
          <w:szCs w:val="22"/>
          <w:u w:color="75787B"/>
          <w:lang w:val="en-GB"/>
        </w:rPr>
        <w:t>Authorization o</w:t>
      </w:r>
      <w:r w:rsidR="002D07D7">
        <w:rPr>
          <w:rStyle w:val="Nessuno"/>
          <w:i/>
          <w:color w:val="808080" w:themeColor="background1" w:themeShade="80"/>
          <w:spacing w:val="-1"/>
          <w:sz w:val="22"/>
          <w:szCs w:val="22"/>
          <w:u w:color="75787B"/>
          <w:lang w:val="en-GB"/>
        </w:rPr>
        <w:t>f</w:t>
      </w:r>
      <w:r w:rsidRPr="000A152B">
        <w:rPr>
          <w:rStyle w:val="Nessuno"/>
          <w:i/>
          <w:color w:val="808080" w:themeColor="background1" w:themeShade="80"/>
          <w:spacing w:val="-1"/>
          <w:sz w:val="22"/>
          <w:szCs w:val="22"/>
          <w:u w:color="75787B"/>
          <w:lang w:val="en-GB"/>
        </w:rPr>
        <w:t xml:space="preserve"> company separation </w:t>
      </w:r>
      <w:r w:rsidR="002D07D7">
        <w:rPr>
          <w:rStyle w:val="Nessuno"/>
          <w:i/>
          <w:color w:val="808080" w:themeColor="background1" w:themeShade="80"/>
          <w:spacing w:val="-1"/>
          <w:sz w:val="22"/>
          <w:szCs w:val="22"/>
          <w:u w:color="75787B"/>
          <w:lang w:val="en-GB"/>
        </w:rPr>
        <w:t>-</w:t>
      </w:r>
      <w:r w:rsidRPr="000A152B">
        <w:rPr>
          <w:rStyle w:val="Nessuno"/>
          <w:i/>
          <w:color w:val="808080" w:themeColor="background1" w:themeShade="80"/>
          <w:spacing w:val="-1"/>
          <w:sz w:val="22"/>
          <w:szCs w:val="22"/>
          <w:u w:color="75787B"/>
          <w:lang w:val="en-GB"/>
        </w:rPr>
        <w:t xml:space="preserve"> </w:t>
      </w:r>
      <w:r w:rsidR="002D07D7">
        <w:rPr>
          <w:rStyle w:val="Nessuno"/>
          <w:i/>
          <w:color w:val="808080" w:themeColor="background1" w:themeShade="80"/>
          <w:spacing w:val="-1"/>
          <w:sz w:val="22"/>
          <w:szCs w:val="22"/>
          <w:u w:color="75787B"/>
          <w:lang w:val="en-GB"/>
        </w:rPr>
        <w:t>P</w:t>
      </w:r>
      <w:r w:rsidRPr="000A152B">
        <w:rPr>
          <w:rStyle w:val="Nessuno"/>
          <w:i/>
          <w:color w:val="808080" w:themeColor="background1" w:themeShade="80"/>
          <w:spacing w:val="-1"/>
          <w:sz w:val="22"/>
          <w:szCs w:val="22"/>
          <w:u w:color="75787B"/>
          <w:lang w:val="en-GB"/>
        </w:rPr>
        <w:t xml:space="preserve">ayment services and banking services </w:t>
      </w:r>
    </w:p>
    <w:p w:rsidR="006E1731" w:rsidRPr="000A152B" w:rsidRDefault="006E1731" w:rsidP="006E1731">
      <w:pPr>
        <w:spacing w:after="120" w:line="240" w:lineRule="exact"/>
        <w:jc w:val="center"/>
        <w:rPr>
          <w:rStyle w:val="Nessuno"/>
          <w:i/>
          <w:color w:val="808080" w:themeColor="background1" w:themeShade="80"/>
          <w:spacing w:val="-1"/>
          <w:sz w:val="22"/>
          <w:szCs w:val="22"/>
          <w:u w:color="75787B"/>
          <w:lang w:val="en-GB"/>
        </w:rPr>
      </w:pPr>
      <w:r w:rsidRPr="000A152B">
        <w:rPr>
          <w:rStyle w:val="Nessuno"/>
          <w:i/>
          <w:color w:val="808080" w:themeColor="background1" w:themeShade="80"/>
          <w:spacing w:val="-1"/>
          <w:sz w:val="22"/>
          <w:szCs w:val="22"/>
          <w:u w:color="75787B"/>
          <w:lang w:val="en-GB"/>
        </w:rPr>
        <w:t>Debt refinancing starts on better terms</w:t>
      </w:r>
    </w:p>
    <w:p w:rsidR="006E1731" w:rsidRPr="000A152B" w:rsidRDefault="006E1731" w:rsidP="006E1731">
      <w:pPr>
        <w:spacing w:after="120" w:line="240" w:lineRule="exact"/>
        <w:jc w:val="center"/>
        <w:rPr>
          <w:rStyle w:val="Nessuno"/>
          <w:i/>
          <w:color w:val="808080" w:themeColor="background1" w:themeShade="80"/>
          <w:spacing w:val="-1"/>
          <w:sz w:val="22"/>
          <w:szCs w:val="22"/>
          <w:u w:color="75787B"/>
          <w:lang w:val="en-GB"/>
        </w:rPr>
      </w:pPr>
      <w:r w:rsidRPr="000A152B">
        <w:rPr>
          <w:rStyle w:val="Nessuno"/>
          <w:i/>
          <w:color w:val="808080" w:themeColor="background1" w:themeShade="80"/>
          <w:spacing w:val="-1"/>
          <w:sz w:val="22"/>
          <w:szCs w:val="22"/>
          <w:u w:color="75787B"/>
          <w:lang w:val="en-GB"/>
        </w:rPr>
        <w:t xml:space="preserve">Further step forward by Nexi in the creation of </w:t>
      </w:r>
      <w:proofErr w:type="spellStart"/>
      <w:r w:rsidRPr="000A152B">
        <w:rPr>
          <w:rStyle w:val="Nessuno"/>
          <w:i/>
          <w:color w:val="808080" w:themeColor="background1" w:themeShade="80"/>
          <w:spacing w:val="-1"/>
          <w:sz w:val="22"/>
          <w:szCs w:val="22"/>
          <w:u w:color="75787B"/>
          <w:lang w:val="en-GB"/>
        </w:rPr>
        <w:t>PayTech</w:t>
      </w:r>
      <w:proofErr w:type="spellEnd"/>
      <w:r w:rsidRPr="000A152B">
        <w:rPr>
          <w:rStyle w:val="Nessuno"/>
          <w:i/>
          <w:color w:val="808080" w:themeColor="background1" w:themeShade="80"/>
          <w:spacing w:val="-1"/>
          <w:sz w:val="22"/>
          <w:szCs w:val="22"/>
          <w:u w:color="75787B"/>
          <w:lang w:val="en-GB"/>
        </w:rPr>
        <w:t xml:space="preserve"> at the service of Banks</w:t>
      </w:r>
    </w:p>
    <w:p w:rsidR="006E1731" w:rsidRPr="000A152B" w:rsidRDefault="006E1731" w:rsidP="00F71697">
      <w:pPr>
        <w:spacing w:line="260" w:lineRule="exact"/>
        <w:jc w:val="center"/>
        <w:rPr>
          <w:rStyle w:val="Nessuno"/>
          <w:color w:val="595959" w:themeColor="text1" w:themeTint="A6"/>
          <w:spacing w:val="-1"/>
          <w:sz w:val="22"/>
          <w:szCs w:val="22"/>
          <w:u w:val="single" w:color="75787B"/>
          <w:lang w:val="en-GB"/>
        </w:rPr>
      </w:pPr>
    </w:p>
    <w:p w:rsidR="00B009D5" w:rsidRPr="000A152B" w:rsidRDefault="00B009D5" w:rsidP="00F71697">
      <w:pPr>
        <w:spacing w:line="260" w:lineRule="exact"/>
        <w:jc w:val="both"/>
        <w:rPr>
          <w:rStyle w:val="Nessuno"/>
          <w:i/>
          <w:color w:val="595959" w:themeColor="text1" w:themeTint="A6"/>
          <w:spacing w:val="-1"/>
          <w:sz w:val="22"/>
          <w:szCs w:val="22"/>
          <w:u w:color="75787B"/>
          <w:lang w:val="en-GB"/>
        </w:rPr>
      </w:pPr>
    </w:p>
    <w:p w:rsidR="006E1731" w:rsidRPr="000A152B" w:rsidRDefault="0006124A" w:rsidP="006E1731">
      <w:pPr>
        <w:spacing w:line="260" w:lineRule="exact"/>
        <w:jc w:val="both"/>
        <w:rPr>
          <w:color w:val="595959" w:themeColor="text1" w:themeTint="A6"/>
          <w:spacing w:val="-1"/>
          <w:sz w:val="22"/>
          <w:szCs w:val="22"/>
          <w:u w:color="75787B"/>
        </w:rPr>
      </w:pPr>
      <w:r w:rsidRPr="000A152B">
        <w:rPr>
          <w:rStyle w:val="Nessuno"/>
          <w:i/>
          <w:color w:val="595959" w:themeColor="text1" w:themeTint="A6"/>
          <w:spacing w:val="-1"/>
          <w:sz w:val="22"/>
          <w:szCs w:val="22"/>
          <w:u w:color="75787B"/>
          <w:lang w:val="en-GB"/>
        </w:rPr>
        <w:t xml:space="preserve">Milan, 30 </w:t>
      </w:r>
      <w:r w:rsidR="006E1731" w:rsidRPr="000A152B">
        <w:rPr>
          <w:rStyle w:val="Nessuno"/>
          <w:i/>
          <w:color w:val="595959" w:themeColor="text1" w:themeTint="A6"/>
          <w:spacing w:val="-1"/>
          <w:sz w:val="22"/>
          <w:szCs w:val="22"/>
          <w:u w:color="75787B"/>
          <w:lang w:val="en-GB"/>
        </w:rPr>
        <w:t xml:space="preserve">April </w:t>
      </w:r>
      <w:r w:rsidRPr="000A152B">
        <w:rPr>
          <w:rStyle w:val="Nessuno"/>
          <w:i/>
          <w:color w:val="595959" w:themeColor="text1" w:themeTint="A6"/>
          <w:spacing w:val="-1"/>
          <w:sz w:val="22"/>
          <w:szCs w:val="22"/>
          <w:u w:color="75787B"/>
          <w:lang w:val="en-GB"/>
        </w:rPr>
        <w:t>2018</w:t>
      </w:r>
      <w:r w:rsidRPr="000A152B">
        <w:rPr>
          <w:rStyle w:val="Nessuno"/>
          <w:color w:val="595959" w:themeColor="text1" w:themeTint="A6"/>
          <w:spacing w:val="-1"/>
          <w:sz w:val="22"/>
          <w:szCs w:val="22"/>
          <w:u w:color="75787B"/>
          <w:lang w:val="en-GB"/>
        </w:rPr>
        <w:t xml:space="preserve"> – </w:t>
      </w:r>
      <w:r w:rsidR="006E1731" w:rsidRPr="000A152B">
        <w:rPr>
          <w:color w:val="595959" w:themeColor="text1" w:themeTint="A6"/>
          <w:spacing w:val="-1"/>
          <w:sz w:val="22"/>
          <w:szCs w:val="22"/>
          <w:u w:color="75787B"/>
        </w:rPr>
        <w:t xml:space="preserve">The Shareholders' Meeting of </w:t>
      </w:r>
      <w:r w:rsidR="006E1731" w:rsidRPr="000A152B">
        <w:rPr>
          <w:b/>
          <w:color w:val="595959" w:themeColor="text1" w:themeTint="A6"/>
          <w:spacing w:val="-1"/>
          <w:sz w:val="22"/>
          <w:szCs w:val="22"/>
          <w:u w:color="75787B"/>
        </w:rPr>
        <w:t>Nexi</w:t>
      </w:r>
      <w:r w:rsidR="006E1731" w:rsidRPr="000A152B">
        <w:rPr>
          <w:color w:val="595959" w:themeColor="text1" w:themeTint="A6"/>
          <w:spacing w:val="-1"/>
          <w:sz w:val="22"/>
          <w:szCs w:val="22"/>
          <w:u w:color="75787B"/>
        </w:rPr>
        <w:t>, the leader in Italy in the digital payments sector, approved the Financial Statements as at 31 December 2017: revenues and investments increase.</w:t>
      </w:r>
    </w:p>
    <w:p w:rsidR="006E1731" w:rsidRPr="000A152B" w:rsidRDefault="006E1731" w:rsidP="006E1731">
      <w:pPr>
        <w:spacing w:line="260" w:lineRule="exact"/>
        <w:jc w:val="both"/>
        <w:rPr>
          <w:color w:val="595959" w:themeColor="text1" w:themeTint="A6"/>
          <w:spacing w:val="-1"/>
          <w:sz w:val="22"/>
          <w:szCs w:val="22"/>
          <w:u w:color="75787B"/>
        </w:rPr>
      </w:pPr>
    </w:p>
    <w:p w:rsidR="006E1731" w:rsidRPr="000A152B" w:rsidRDefault="006E1731" w:rsidP="006E1731">
      <w:pPr>
        <w:spacing w:line="260" w:lineRule="exact"/>
        <w:jc w:val="both"/>
        <w:rPr>
          <w:color w:val="595959" w:themeColor="text1" w:themeTint="A6"/>
          <w:spacing w:val="-1"/>
          <w:sz w:val="22"/>
          <w:szCs w:val="22"/>
          <w:u w:color="75787B"/>
        </w:rPr>
      </w:pPr>
      <w:r w:rsidRPr="000A152B">
        <w:rPr>
          <w:color w:val="595959" w:themeColor="text1" w:themeTint="A6"/>
          <w:spacing w:val="-1"/>
          <w:sz w:val="22"/>
          <w:szCs w:val="22"/>
          <w:u w:color="75787B"/>
        </w:rPr>
        <w:t>At the consolidated level, revenues rose to € 855.9 million, compared to € 688.5 million in 2016, reporting an organic growth of 6.6%, net of acquisitions co</w:t>
      </w:r>
      <w:r w:rsidR="00680EB6" w:rsidRPr="000A152B">
        <w:rPr>
          <w:color w:val="595959" w:themeColor="text1" w:themeTint="A6"/>
          <w:spacing w:val="-1"/>
          <w:sz w:val="22"/>
          <w:szCs w:val="22"/>
          <w:u w:color="75787B"/>
        </w:rPr>
        <w:t xml:space="preserve">mpleted </w:t>
      </w:r>
      <w:r w:rsidRPr="000A152B">
        <w:rPr>
          <w:color w:val="595959" w:themeColor="text1" w:themeTint="A6"/>
          <w:spacing w:val="-1"/>
          <w:sz w:val="22"/>
          <w:szCs w:val="22"/>
          <w:u w:color="75787B"/>
        </w:rPr>
        <w:t>in 2017.</w:t>
      </w:r>
    </w:p>
    <w:p w:rsidR="006E1731" w:rsidRPr="000A152B" w:rsidRDefault="006E1731" w:rsidP="006E1731">
      <w:pPr>
        <w:spacing w:line="260" w:lineRule="exact"/>
        <w:jc w:val="both"/>
        <w:rPr>
          <w:color w:val="595959" w:themeColor="text1" w:themeTint="A6"/>
          <w:spacing w:val="-1"/>
          <w:sz w:val="22"/>
          <w:szCs w:val="22"/>
          <w:u w:color="75787B"/>
        </w:rPr>
      </w:pPr>
    </w:p>
    <w:p w:rsidR="006E1731" w:rsidRPr="000A152B" w:rsidRDefault="006E1731" w:rsidP="006E1731">
      <w:pPr>
        <w:spacing w:line="260" w:lineRule="exact"/>
        <w:jc w:val="both"/>
        <w:rPr>
          <w:color w:val="595959" w:themeColor="text1" w:themeTint="A6"/>
          <w:spacing w:val="-1"/>
          <w:sz w:val="22"/>
          <w:szCs w:val="22"/>
          <w:u w:color="75787B"/>
        </w:rPr>
      </w:pPr>
      <w:r w:rsidRPr="000A152B">
        <w:rPr>
          <w:color w:val="595959" w:themeColor="text1" w:themeTint="A6"/>
          <w:spacing w:val="-1"/>
          <w:sz w:val="22"/>
          <w:szCs w:val="22"/>
          <w:u w:color="75787B"/>
        </w:rPr>
        <w:t>EBITDA</w:t>
      </w:r>
      <w:r w:rsidR="00680EB6" w:rsidRPr="000A152B">
        <w:rPr>
          <w:color w:val="595959" w:themeColor="text1" w:themeTint="A6"/>
          <w:spacing w:val="-1"/>
          <w:sz w:val="22"/>
          <w:szCs w:val="22"/>
          <w:u w:color="75787B"/>
        </w:rPr>
        <w:t>,</w:t>
      </w:r>
      <w:r w:rsidRPr="000A152B">
        <w:rPr>
          <w:color w:val="595959" w:themeColor="text1" w:themeTint="A6"/>
          <w:spacing w:val="-1"/>
          <w:sz w:val="22"/>
          <w:szCs w:val="22"/>
          <w:u w:color="75787B"/>
        </w:rPr>
        <w:t xml:space="preserve"> thanks to the growth in revenues, the containment of costs despite the increase in investment for development, and the impact of acquisitions</w:t>
      </w:r>
      <w:r w:rsidR="00680EB6" w:rsidRPr="000A152B">
        <w:rPr>
          <w:color w:val="595959" w:themeColor="text1" w:themeTint="A6"/>
          <w:spacing w:val="-1"/>
          <w:sz w:val="22"/>
          <w:szCs w:val="22"/>
          <w:u w:color="75787B"/>
        </w:rPr>
        <w:t>,</w:t>
      </w:r>
      <w:r w:rsidRPr="000A152B">
        <w:rPr>
          <w:color w:val="595959" w:themeColor="text1" w:themeTint="A6"/>
          <w:spacing w:val="-1"/>
          <w:sz w:val="22"/>
          <w:szCs w:val="22"/>
          <w:u w:color="75787B"/>
        </w:rPr>
        <w:t xml:space="preserve"> increased to</w:t>
      </w:r>
      <w:r w:rsidR="00680EB6" w:rsidRPr="000A152B">
        <w:rPr>
          <w:color w:val="595959" w:themeColor="text1" w:themeTint="A6"/>
          <w:spacing w:val="-1"/>
          <w:sz w:val="22"/>
          <w:szCs w:val="22"/>
          <w:u w:color="75787B"/>
        </w:rPr>
        <w:t xml:space="preserve"> </w:t>
      </w:r>
      <w:r w:rsidRPr="000A152B">
        <w:rPr>
          <w:color w:val="595959" w:themeColor="text1" w:themeTint="A6"/>
          <w:spacing w:val="-1"/>
          <w:sz w:val="22"/>
          <w:szCs w:val="22"/>
          <w:u w:color="75787B"/>
        </w:rPr>
        <w:t>€ 303.9 million, compared to € 227 million in 2016, re</w:t>
      </w:r>
      <w:r w:rsidR="00680EB6" w:rsidRPr="000A152B">
        <w:rPr>
          <w:color w:val="595959" w:themeColor="text1" w:themeTint="A6"/>
          <w:spacing w:val="-1"/>
          <w:sz w:val="22"/>
          <w:szCs w:val="22"/>
          <w:u w:color="75787B"/>
        </w:rPr>
        <w:t xml:space="preserve">porting </w:t>
      </w:r>
      <w:r w:rsidRPr="000A152B">
        <w:rPr>
          <w:color w:val="595959" w:themeColor="text1" w:themeTint="A6"/>
          <w:spacing w:val="-1"/>
          <w:sz w:val="22"/>
          <w:szCs w:val="22"/>
          <w:u w:color="75787B"/>
        </w:rPr>
        <w:t xml:space="preserve">an organic growth of 18.5%, net of acquisitions </w:t>
      </w:r>
      <w:r w:rsidR="00680EB6" w:rsidRPr="000A152B">
        <w:rPr>
          <w:color w:val="595959" w:themeColor="text1" w:themeTint="A6"/>
          <w:spacing w:val="-1"/>
          <w:sz w:val="22"/>
          <w:szCs w:val="22"/>
          <w:u w:color="75787B"/>
        </w:rPr>
        <w:t xml:space="preserve">completed </w:t>
      </w:r>
      <w:r w:rsidRPr="000A152B">
        <w:rPr>
          <w:color w:val="595959" w:themeColor="text1" w:themeTint="A6"/>
          <w:spacing w:val="-1"/>
          <w:sz w:val="22"/>
          <w:szCs w:val="22"/>
          <w:u w:color="75787B"/>
        </w:rPr>
        <w:t>in 2017.</w:t>
      </w:r>
    </w:p>
    <w:p w:rsidR="00F71697" w:rsidRPr="000A152B" w:rsidRDefault="00F71697" w:rsidP="00F71697">
      <w:pPr>
        <w:spacing w:line="260" w:lineRule="exact"/>
        <w:jc w:val="both"/>
        <w:rPr>
          <w:color w:val="595959" w:themeColor="text1" w:themeTint="A6"/>
          <w:spacing w:val="-1"/>
          <w:sz w:val="22"/>
          <w:szCs w:val="22"/>
          <w:u w:color="75787B"/>
        </w:rPr>
      </w:pPr>
    </w:p>
    <w:p w:rsidR="00680EB6" w:rsidRPr="000A152B" w:rsidRDefault="00680EB6" w:rsidP="00680EB6">
      <w:pPr>
        <w:spacing w:line="260" w:lineRule="exact"/>
        <w:jc w:val="both"/>
        <w:rPr>
          <w:color w:val="595959" w:themeColor="text1" w:themeTint="A6"/>
          <w:spacing w:val="-1"/>
          <w:sz w:val="22"/>
          <w:szCs w:val="22"/>
          <w:u w:color="75787B"/>
        </w:rPr>
      </w:pPr>
      <w:proofErr w:type="gramStart"/>
      <w:r w:rsidRPr="000A152B">
        <w:rPr>
          <w:color w:val="595959" w:themeColor="text1" w:themeTint="A6"/>
          <w:spacing w:val="-1"/>
          <w:sz w:val="22"/>
          <w:szCs w:val="22"/>
          <w:u w:color="75787B"/>
        </w:rPr>
        <w:t>In order to</w:t>
      </w:r>
      <w:proofErr w:type="gramEnd"/>
      <w:r w:rsidRPr="000A152B">
        <w:rPr>
          <w:color w:val="595959" w:themeColor="text1" w:themeTint="A6"/>
          <w:spacing w:val="-1"/>
          <w:sz w:val="22"/>
          <w:szCs w:val="22"/>
          <w:u w:color="75787B"/>
        </w:rPr>
        <w:t xml:space="preserve"> accelerate the focus</w:t>
      </w:r>
      <w:r w:rsidRPr="000A152B">
        <w:rPr>
          <w:b/>
          <w:color w:val="595959" w:themeColor="text1" w:themeTint="A6"/>
          <w:spacing w:val="-1"/>
          <w:sz w:val="22"/>
          <w:szCs w:val="22"/>
          <w:u w:color="75787B"/>
        </w:rPr>
        <w:t xml:space="preserve"> </w:t>
      </w:r>
      <w:r w:rsidRPr="000A152B">
        <w:rPr>
          <w:color w:val="595959" w:themeColor="text1" w:themeTint="A6"/>
          <w:spacing w:val="-1"/>
          <w:sz w:val="22"/>
          <w:szCs w:val="22"/>
          <w:u w:color="75787B"/>
        </w:rPr>
        <w:t>of the</w:t>
      </w:r>
      <w:r w:rsidRPr="000A152B">
        <w:rPr>
          <w:b/>
          <w:color w:val="595959" w:themeColor="text1" w:themeTint="A6"/>
          <w:spacing w:val="-1"/>
          <w:sz w:val="22"/>
          <w:szCs w:val="22"/>
          <w:u w:color="75787B"/>
        </w:rPr>
        <w:t xml:space="preserve"> Nexi</w:t>
      </w:r>
      <w:r w:rsidRPr="000A152B">
        <w:rPr>
          <w:color w:val="595959" w:themeColor="text1" w:themeTint="A6"/>
          <w:spacing w:val="-1"/>
          <w:sz w:val="22"/>
          <w:szCs w:val="22"/>
          <w:u w:color="75787B"/>
        </w:rPr>
        <w:t xml:space="preserve"> Group on innovation and quality, expenses and investments for ICT projects </w:t>
      </w:r>
      <w:r w:rsidR="002D07D7">
        <w:rPr>
          <w:color w:val="595959" w:themeColor="text1" w:themeTint="A6"/>
          <w:spacing w:val="-1"/>
          <w:sz w:val="22"/>
          <w:szCs w:val="22"/>
          <w:u w:color="75787B"/>
        </w:rPr>
        <w:t>were raised</w:t>
      </w:r>
      <w:r w:rsidRPr="000A152B">
        <w:rPr>
          <w:color w:val="595959" w:themeColor="text1" w:themeTint="A6"/>
          <w:spacing w:val="-1"/>
          <w:sz w:val="22"/>
          <w:szCs w:val="22"/>
          <w:u w:color="75787B"/>
        </w:rPr>
        <w:t xml:space="preserve"> by 64% to € 97.5 million in 2017.</w:t>
      </w:r>
    </w:p>
    <w:p w:rsidR="00680EB6" w:rsidRPr="000A152B" w:rsidRDefault="00680EB6" w:rsidP="00680EB6">
      <w:pPr>
        <w:spacing w:line="260" w:lineRule="exact"/>
        <w:jc w:val="both"/>
        <w:rPr>
          <w:color w:val="595959" w:themeColor="text1" w:themeTint="A6"/>
          <w:spacing w:val="-1"/>
          <w:sz w:val="22"/>
          <w:szCs w:val="22"/>
          <w:u w:color="75787B"/>
        </w:rPr>
      </w:pPr>
      <w:r w:rsidRPr="000A152B">
        <w:rPr>
          <w:color w:val="595959" w:themeColor="text1" w:themeTint="A6"/>
          <w:spacing w:val="-1"/>
          <w:sz w:val="22"/>
          <w:szCs w:val="22"/>
          <w:u w:color="75787B"/>
        </w:rPr>
        <w:t> </w:t>
      </w:r>
    </w:p>
    <w:p w:rsidR="00680EB6" w:rsidRPr="000A152B" w:rsidRDefault="00680EB6" w:rsidP="00680EB6">
      <w:pPr>
        <w:spacing w:line="260" w:lineRule="exact"/>
        <w:jc w:val="both"/>
        <w:rPr>
          <w:color w:val="595959" w:themeColor="text1" w:themeTint="A6"/>
          <w:spacing w:val="-1"/>
          <w:sz w:val="22"/>
          <w:szCs w:val="22"/>
          <w:u w:color="75787B"/>
        </w:rPr>
      </w:pPr>
      <w:r w:rsidRPr="000A152B">
        <w:rPr>
          <w:color w:val="595959" w:themeColor="text1" w:themeTint="A6"/>
          <w:spacing w:val="-1"/>
          <w:sz w:val="22"/>
          <w:szCs w:val="22"/>
          <w:u w:color="75787B"/>
        </w:rPr>
        <w:t>Net profit for the year closed with € 79.1 million, down compared to € 104 million in 2016 due to the extraordinary investments made to accelerate the implementation of the Business Plan.</w:t>
      </w:r>
    </w:p>
    <w:p w:rsidR="00680EB6" w:rsidRPr="000A152B" w:rsidRDefault="00680EB6" w:rsidP="00680EB6">
      <w:pPr>
        <w:spacing w:line="260" w:lineRule="exact"/>
        <w:jc w:val="both"/>
        <w:rPr>
          <w:color w:val="595959" w:themeColor="text1" w:themeTint="A6"/>
          <w:spacing w:val="-1"/>
          <w:sz w:val="22"/>
          <w:szCs w:val="22"/>
          <w:u w:color="75787B"/>
        </w:rPr>
      </w:pPr>
    </w:p>
    <w:p w:rsidR="00680EB6" w:rsidRPr="000A152B" w:rsidRDefault="00680EB6" w:rsidP="00680EB6">
      <w:pPr>
        <w:spacing w:line="260" w:lineRule="exact"/>
        <w:jc w:val="both"/>
        <w:rPr>
          <w:color w:val="595959" w:themeColor="text1" w:themeTint="A6"/>
          <w:spacing w:val="-1"/>
          <w:sz w:val="22"/>
          <w:szCs w:val="22"/>
          <w:u w:color="75787B"/>
        </w:rPr>
      </w:pPr>
      <w:r w:rsidRPr="000A152B">
        <w:rPr>
          <w:color w:val="595959" w:themeColor="text1" w:themeTint="A6"/>
          <w:spacing w:val="-1"/>
          <w:sz w:val="22"/>
          <w:szCs w:val="22"/>
          <w:u w:color="75787B"/>
        </w:rPr>
        <w:t xml:space="preserve">In addition, in these days, the </w:t>
      </w:r>
      <w:r w:rsidRPr="003C0270">
        <w:rPr>
          <w:b/>
          <w:color w:val="595959" w:themeColor="text1" w:themeTint="A6"/>
          <w:spacing w:val="-1"/>
          <w:sz w:val="22"/>
          <w:szCs w:val="22"/>
          <w:u w:color="75787B"/>
        </w:rPr>
        <w:t>Nexi</w:t>
      </w:r>
      <w:r w:rsidRPr="000A152B">
        <w:rPr>
          <w:color w:val="595959" w:themeColor="text1" w:themeTint="A6"/>
          <w:spacing w:val="-1"/>
          <w:sz w:val="22"/>
          <w:szCs w:val="22"/>
          <w:u w:color="75787B"/>
        </w:rPr>
        <w:t xml:space="preserve"> Group received authorization from the Bank of Italy and the European Central Bank to proceed with the corporate reorganization launched last January, which sees the separation between the activities related to the payments world and those strictly to banking (Securities Services and Settlement Services).</w:t>
      </w:r>
    </w:p>
    <w:p w:rsidR="00680EB6" w:rsidRPr="000A152B" w:rsidRDefault="00680EB6" w:rsidP="00F71697">
      <w:pPr>
        <w:spacing w:line="260" w:lineRule="exact"/>
        <w:jc w:val="both"/>
        <w:rPr>
          <w:rStyle w:val="Nessuno"/>
          <w:color w:val="595959" w:themeColor="text1" w:themeTint="A6"/>
          <w:spacing w:val="-1"/>
          <w:sz w:val="22"/>
          <w:szCs w:val="22"/>
          <w:u w:color="75787B"/>
          <w:lang w:val="en-GB"/>
        </w:rPr>
      </w:pPr>
    </w:p>
    <w:p w:rsidR="00080DEF" w:rsidRPr="000A152B" w:rsidRDefault="00080DEF" w:rsidP="00080DEF">
      <w:pPr>
        <w:spacing w:line="260" w:lineRule="exact"/>
        <w:jc w:val="both"/>
        <w:rPr>
          <w:rStyle w:val="Nessuno"/>
          <w:color w:val="595959" w:themeColor="text1" w:themeTint="A6"/>
          <w:spacing w:val="-1"/>
          <w:sz w:val="22"/>
          <w:szCs w:val="22"/>
          <w:u w:color="75787B"/>
          <w:lang w:val="en-GB"/>
        </w:rPr>
      </w:pPr>
      <w:r w:rsidRPr="000A152B">
        <w:rPr>
          <w:rStyle w:val="Nessuno"/>
          <w:color w:val="595959" w:themeColor="text1" w:themeTint="A6"/>
          <w:spacing w:val="-1"/>
          <w:sz w:val="22"/>
          <w:szCs w:val="22"/>
          <w:u w:color="75787B"/>
          <w:lang w:val="en-GB"/>
        </w:rPr>
        <w:t xml:space="preserve">This is a key step in the reorganization that will become effective from July onwards and which allows </w:t>
      </w:r>
      <w:r w:rsidRPr="00A42E25">
        <w:rPr>
          <w:rStyle w:val="Nessuno"/>
          <w:b/>
          <w:color w:val="595959" w:themeColor="text1" w:themeTint="A6"/>
          <w:spacing w:val="-1"/>
          <w:sz w:val="22"/>
          <w:szCs w:val="22"/>
          <w:u w:color="75787B"/>
          <w:lang w:val="en-GB"/>
        </w:rPr>
        <w:t>Nexi</w:t>
      </w:r>
      <w:r w:rsidRPr="000A152B">
        <w:rPr>
          <w:rStyle w:val="Nessuno"/>
          <w:color w:val="595959" w:themeColor="text1" w:themeTint="A6"/>
          <w:spacing w:val="-1"/>
          <w:sz w:val="22"/>
          <w:szCs w:val="22"/>
          <w:u w:color="75787B"/>
          <w:lang w:val="en-GB"/>
        </w:rPr>
        <w:t xml:space="preserve"> to focus even more on its development path to further strengthen its role as an Italian </w:t>
      </w:r>
      <w:proofErr w:type="spellStart"/>
      <w:r w:rsidRPr="000A152B">
        <w:rPr>
          <w:rStyle w:val="Nessuno"/>
          <w:color w:val="595959" w:themeColor="text1" w:themeTint="A6"/>
          <w:spacing w:val="-1"/>
          <w:sz w:val="22"/>
          <w:szCs w:val="22"/>
          <w:u w:color="75787B"/>
          <w:lang w:val="en-GB"/>
        </w:rPr>
        <w:t>Paytech</w:t>
      </w:r>
      <w:proofErr w:type="spellEnd"/>
      <w:r w:rsidRPr="000A152B">
        <w:rPr>
          <w:rStyle w:val="Nessuno"/>
          <w:color w:val="595959" w:themeColor="text1" w:themeTint="A6"/>
          <w:spacing w:val="-1"/>
          <w:sz w:val="22"/>
          <w:szCs w:val="22"/>
          <w:u w:color="75787B"/>
          <w:lang w:val="en-GB"/>
        </w:rPr>
        <w:t xml:space="preserve"> specialized in </w:t>
      </w:r>
      <w:r w:rsidR="0099635E">
        <w:rPr>
          <w:rStyle w:val="Nessuno"/>
          <w:color w:val="595959" w:themeColor="text1" w:themeTint="A6"/>
          <w:spacing w:val="-1"/>
          <w:sz w:val="22"/>
          <w:szCs w:val="22"/>
          <w:u w:color="75787B"/>
          <w:lang w:val="en-GB"/>
        </w:rPr>
        <w:t xml:space="preserve">offering </w:t>
      </w:r>
      <w:r w:rsidRPr="000A152B">
        <w:rPr>
          <w:rStyle w:val="Nessuno"/>
          <w:color w:val="595959" w:themeColor="text1" w:themeTint="A6"/>
          <w:spacing w:val="-1"/>
          <w:sz w:val="22"/>
          <w:szCs w:val="22"/>
          <w:u w:color="75787B"/>
          <w:lang w:val="en-GB"/>
        </w:rPr>
        <w:t xml:space="preserve">innovative </w:t>
      </w:r>
      <w:r w:rsidR="003515FB" w:rsidRPr="000A152B">
        <w:rPr>
          <w:rStyle w:val="Nessuno"/>
          <w:color w:val="595959" w:themeColor="text1" w:themeTint="A6"/>
          <w:spacing w:val="-1"/>
          <w:sz w:val="22"/>
          <w:szCs w:val="22"/>
          <w:u w:color="75787B"/>
          <w:lang w:val="en-GB"/>
        </w:rPr>
        <w:t xml:space="preserve">and quality </w:t>
      </w:r>
      <w:r w:rsidRPr="000A152B">
        <w:rPr>
          <w:rStyle w:val="Nessuno"/>
          <w:color w:val="595959" w:themeColor="text1" w:themeTint="A6"/>
          <w:spacing w:val="-1"/>
          <w:sz w:val="22"/>
          <w:szCs w:val="22"/>
          <w:u w:color="75787B"/>
          <w:lang w:val="en-GB"/>
        </w:rPr>
        <w:t>services and products to its partner banks and, at the same time, creat</w:t>
      </w:r>
      <w:r w:rsidR="000D0DAA">
        <w:rPr>
          <w:rStyle w:val="Nessuno"/>
          <w:color w:val="595959" w:themeColor="text1" w:themeTint="A6"/>
          <w:spacing w:val="-1"/>
          <w:sz w:val="22"/>
          <w:szCs w:val="22"/>
          <w:u w:color="75787B"/>
          <w:lang w:val="en-GB"/>
        </w:rPr>
        <w:t>ing</w:t>
      </w:r>
      <w:r w:rsidRPr="000A152B">
        <w:rPr>
          <w:rStyle w:val="Nessuno"/>
          <w:color w:val="595959" w:themeColor="text1" w:themeTint="A6"/>
          <w:spacing w:val="-1"/>
          <w:sz w:val="22"/>
          <w:szCs w:val="22"/>
          <w:u w:color="75787B"/>
          <w:lang w:val="en-GB"/>
        </w:rPr>
        <w:t xml:space="preserve"> the </w:t>
      </w:r>
      <w:r w:rsidR="005C4763">
        <w:rPr>
          <w:rStyle w:val="Nessuno"/>
          <w:color w:val="595959" w:themeColor="text1" w:themeTint="A6"/>
          <w:spacing w:val="-1"/>
          <w:sz w:val="22"/>
          <w:szCs w:val="22"/>
          <w:u w:color="75787B"/>
          <w:lang w:val="en-GB"/>
        </w:rPr>
        <w:t>leading</w:t>
      </w:r>
      <w:r w:rsidRPr="000A152B">
        <w:rPr>
          <w:rStyle w:val="Nessuno"/>
          <w:color w:val="595959" w:themeColor="text1" w:themeTint="A6"/>
          <w:spacing w:val="-1"/>
          <w:sz w:val="22"/>
          <w:szCs w:val="22"/>
          <w:u w:color="75787B"/>
          <w:lang w:val="en-GB"/>
        </w:rPr>
        <w:t xml:space="preserve"> Italian </w:t>
      </w:r>
      <w:r w:rsidR="003515FB" w:rsidRPr="000A152B">
        <w:rPr>
          <w:rStyle w:val="Nessuno"/>
          <w:color w:val="595959" w:themeColor="text1" w:themeTint="A6"/>
          <w:spacing w:val="-1"/>
          <w:sz w:val="22"/>
          <w:szCs w:val="22"/>
          <w:u w:color="75787B"/>
          <w:lang w:val="en-GB"/>
        </w:rPr>
        <w:t xml:space="preserve">depositary </w:t>
      </w:r>
      <w:r w:rsidRPr="000A152B">
        <w:rPr>
          <w:rStyle w:val="Nessuno"/>
          <w:color w:val="595959" w:themeColor="text1" w:themeTint="A6"/>
          <w:spacing w:val="-1"/>
          <w:sz w:val="22"/>
          <w:szCs w:val="22"/>
          <w:u w:color="75787B"/>
          <w:lang w:val="en-GB"/>
        </w:rPr>
        <w:t>bank.</w:t>
      </w:r>
    </w:p>
    <w:p w:rsidR="00080DEF" w:rsidRPr="000A152B" w:rsidRDefault="00080DEF" w:rsidP="00080DEF">
      <w:pPr>
        <w:spacing w:line="260" w:lineRule="exact"/>
        <w:jc w:val="both"/>
        <w:rPr>
          <w:rStyle w:val="Nessuno"/>
          <w:color w:val="595959" w:themeColor="text1" w:themeTint="A6"/>
          <w:spacing w:val="-1"/>
          <w:sz w:val="22"/>
          <w:szCs w:val="22"/>
          <w:u w:color="75787B"/>
          <w:lang w:val="en-GB"/>
        </w:rPr>
      </w:pPr>
    </w:p>
    <w:p w:rsidR="00080DEF" w:rsidRPr="000A152B" w:rsidRDefault="00080DEF" w:rsidP="00080DEF">
      <w:pPr>
        <w:spacing w:line="260" w:lineRule="exact"/>
        <w:jc w:val="both"/>
        <w:rPr>
          <w:rStyle w:val="Nessuno"/>
          <w:color w:val="595959" w:themeColor="text1" w:themeTint="A6"/>
          <w:spacing w:val="-1"/>
          <w:sz w:val="22"/>
          <w:szCs w:val="22"/>
          <w:u w:color="75787B"/>
          <w:lang w:val="en-GB"/>
        </w:rPr>
      </w:pPr>
      <w:r w:rsidRPr="000A152B">
        <w:rPr>
          <w:rStyle w:val="Nessuno"/>
          <w:color w:val="595959" w:themeColor="text1" w:themeTint="A6"/>
          <w:spacing w:val="-1"/>
          <w:sz w:val="22"/>
          <w:szCs w:val="22"/>
          <w:u w:color="75787B"/>
          <w:lang w:val="en-GB"/>
        </w:rPr>
        <w:t xml:space="preserve">Thanks to this new corporate structure, the positive results and the development prospects (also certified by the improvement of its rating </w:t>
      </w:r>
      <w:r w:rsidR="000D0DAA" w:rsidRPr="000A152B">
        <w:rPr>
          <w:rStyle w:val="Nessuno"/>
          <w:color w:val="595959" w:themeColor="text1" w:themeTint="A6"/>
          <w:spacing w:val="-1"/>
          <w:sz w:val="22"/>
          <w:szCs w:val="22"/>
          <w:u w:color="75787B"/>
          <w:lang w:val="en-GB"/>
        </w:rPr>
        <w:t>to BB-, B1 and B+</w:t>
      </w:r>
      <w:r w:rsidR="000D0DAA">
        <w:rPr>
          <w:rStyle w:val="Nessuno"/>
          <w:color w:val="595959" w:themeColor="text1" w:themeTint="A6"/>
          <w:spacing w:val="-1"/>
          <w:sz w:val="22"/>
          <w:szCs w:val="22"/>
          <w:u w:color="75787B"/>
          <w:lang w:val="en-GB"/>
        </w:rPr>
        <w:t xml:space="preserve"> </w:t>
      </w:r>
      <w:r w:rsidRPr="000A152B">
        <w:rPr>
          <w:rStyle w:val="Nessuno"/>
          <w:color w:val="595959" w:themeColor="text1" w:themeTint="A6"/>
          <w:spacing w:val="-1"/>
          <w:sz w:val="22"/>
          <w:szCs w:val="22"/>
          <w:u w:color="75787B"/>
          <w:lang w:val="en-GB"/>
        </w:rPr>
        <w:t xml:space="preserve">assigned by </w:t>
      </w:r>
      <w:r w:rsidRPr="000A152B">
        <w:rPr>
          <w:rStyle w:val="Nessuno"/>
          <w:color w:val="595959" w:themeColor="text1" w:themeTint="A6"/>
          <w:spacing w:val="-1"/>
          <w:sz w:val="22"/>
          <w:szCs w:val="22"/>
          <w:u w:color="75787B"/>
          <w:lang w:val="en-GB"/>
        </w:rPr>
        <w:lastRenderedPageBreak/>
        <w:t xml:space="preserve">Fitch, Moody's and Standard &amp; Poor's </w:t>
      </w:r>
      <w:r w:rsidR="00B8139F" w:rsidRPr="000A152B">
        <w:rPr>
          <w:rStyle w:val="Nessuno"/>
          <w:color w:val="595959" w:themeColor="text1" w:themeTint="A6"/>
          <w:spacing w:val="-1"/>
          <w:sz w:val="22"/>
          <w:szCs w:val="22"/>
          <w:u w:color="75787B"/>
          <w:lang w:val="en-GB"/>
        </w:rPr>
        <w:t>respectively</w:t>
      </w:r>
      <w:r w:rsidRPr="000A152B">
        <w:rPr>
          <w:rStyle w:val="Nessuno"/>
          <w:color w:val="595959" w:themeColor="text1" w:themeTint="A6"/>
          <w:spacing w:val="-1"/>
          <w:sz w:val="22"/>
          <w:szCs w:val="22"/>
          <w:u w:color="75787B"/>
          <w:lang w:val="en-GB"/>
        </w:rPr>
        <w:t>)</w:t>
      </w:r>
      <w:r w:rsidR="003515FB" w:rsidRPr="000A152B">
        <w:rPr>
          <w:rStyle w:val="Rimandonotaapidipagina"/>
          <w:color w:val="595959"/>
          <w:spacing w:val="-1"/>
          <w:sz w:val="22"/>
          <w:szCs w:val="22"/>
        </w:rPr>
        <w:footnoteReference w:customMarkFollows="1" w:id="1"/>
        <w:t>[1]</w:t>
      </w:r>
      <w:r w:rsidRPr="000A152B">
        <w:rPr>
          <w:rStyle w:val="Nessuno"/>
          <w:color w:val="595959" w:themeColor="text1" w:themeTint="A6"/>
          <w:spacing w:val="-1"/>
          <w:sz w:val="22"/>
          <w:szCs w:val="22"/>
          <w:u w:color="75787B"/>
          <w:lang w:val="en-GB"/>
        </w:rPr>
        <w:t xml:space="preserve">, </w:t>
      </w:r>
      <w:r w:rsidRPr="000A152B">
        <w:rPr>
          <w:rStyle w:val="Nessuno"/>
          <w:b/>
          <w:color w:val="595959" w:themeColor="text1" w:themeTint="A6"/>
          <w:spacing w:val="-1"/>
          <w:sz w:val="22"/>
          <w:szCs w:val="22"/>
          <w:u w:color="75787B"/>
          <w:lang w:val="en-GB"/>
        </w:rPr>
        <w:t>Nexi</w:t>
      </w:r>
      <w:r w:rsidRPr="000A152B">
        <w:rPr>
          <w:rStyle w:val="Nessuno"/>
          <w:color w:val="595959" w:themeColor="text1" w:themeTint="A6"/>
          <w:spacing w:val="-1"/>
          <w:sz w:val="22"/>
          <w:szCs w:val="22"/>
          <w:u w:color="75787B"/>
          <w:lang w:val="en-GB"/>
        </w:rPr>
        <w:t xml:space="preserve"> has decided to seize the opportunity, offered by the current positive market window,</w:t>
      </w:r>
      <w:r w:rsidR="00B8139F">
        <w:rPr>
          <w:rStyle w:val="Nessuno"/>
          <w:color w:val="595959" w:themeColor="text1" w:themeTint="A6"/>
          <w:spacing w:val="-1"/>
          <w:sz w:val="22"/>
          <w:szCs w:val="22"/>
          <w:u w:color="75787B"/>
          <w:lang w:val="en-GB"/>
        </w:rPr>
        <w:t xml:space="preserve"> </w:t>
      </w:r>
      <w:r w:rsidRPr="000A152B">
        <w:rPr>
          <w:rStyle w:val="Nessuno"/>
          <w:color w:val="595959" w:themeColor="text1" w:themeTint="A6"/>
          <w:spacing w:val="-1"/>
          <w:sz w:val="22"/>
          <w:szCs w:val="22"/>
          <w:u w:color="75787B"/>
          <w:lang w:val="en-GB"/>
        </w:rPr>
        <w:t xml:space="preserve">to refinance the debt, </w:t>
      </w:r>
      <w:r w:rsidR="003515FB" w:rsidRPr="000A152B">
        <w:rPr>
          <w:rStyle w:val="Nessuno"/>
          <w:color w:val="595959" w:themeColor="text1" w:themeTint="A6"/>
          <w:spacing w:val="-1"/>
          <w:sz w:val="22"/>
          <w:szCs w:val="22"/>
          <w:u w:color="75787B"/>
          <w:lang w:val="en-GB"/>
        </w:rPr>
        <w:t xml:space="preserve">assumed </w:t>
      </w:r>
      <w:r w:rsidRPr="000A152B">
        <w:rPr>
          <w:rStyle w:val="Nessuno"/>
          <w:color w:val="595959" w:themeColor="text1" w:themeTint="A6"/>
          <w:spacing w:val="-1"/>
          <w:sz w:val="22"/>
          <w:szCs w:val="22"/>
          <w:u w:color="75787B"/>
          <w:lang w:val="en-GB"/>
        </w:rPr>
        <w:t xml:space="preserve">over the years by the shareholders (Advent International, Bain Capital and </w:t>
      </w:r>
      <w:proofErr w:type="spellStart"/>
      <w:r w:rsidRPr="000A152B">
        <w:rPr>
          <w:rStyle w:val="Nessuno"/>
          <w:color w:val="595959" w:themeColor="text1" w:themeTint="A6"/>
          <w:spacing w:val="-1"/>
          <w:sz w:val="22"/>
          <w:szCs w:val="22"/>
          <w:u w:color="75787B"/>
          <w:lang w:val="en-GB"/>
        </w:rPr>
        <w:t>Clessidra</w:t>
      </w:r>
      <w:proofErr w:type="spellEnd"/>
      <w:r w:rsidRPr="000A152B">
        <w:rPr>
          <w:rStyle w:val="Nessuno"/>
          <w:color w:val="595959" w:themeColor="text1" w:themeTint="A6"/>
          <w:spacing w:val="-1"/>
          <w:sz w:val="22"/>
          <w:szCs w:val="22"/>
          <w:u w:color="75787B"/>
          <w:lang w:val="en-GB"/>
        </w:rPr>
        <w:t xml:space="preserve"> </w:t>
      </w:r>
      <w:proofErr w:type="spellStart"/>
      <w:r w:rsidRPr="000A152B">
        <w:rPr>
          <w:rStyle w:val="Nessuno"/>
          <w:color w:val="595959" w:themeColor="text1" w:themeTint="A6"/>
          <w:spacing w:val="-1"/>
          <w:sz w:val="22"/>
          <w:szCs w:val="22"/>
          <w:u w:color="75787B"/>
          <w:lang w:val="en-GB"/>
        </w:rPr>
        <w:t>Sgr</w:t>
      </w:r>
      <w:proofErr w:type="spellEnd"/>
      <w:r w:rsidRPr="000A152B">
        <w:rPr>
          <w:rStyle w:val="Nessuno"/>
          <w:color w:val="595959" w:themeColor="text1" w:themeTint="A6"/>
          <w:spacing w:val="-1"/>
          <w:sz w:val="22"/>
          <w:szCs w:val="22"/>
          <w:u w:color="75787B"/>
          <w:lang w:val="en-GB"/>
        </w:rPr>
        <w:t xml:space="preserve">), </w:t>
      </w:r>
      <w:r w:rsidR="00B8139F">
        <w:rPr>
          <w:rStyle w:val="Nessuno"/>
          <w:color w:val="595959" w:themeColor="text1" w:themeTint="A6"/>
          <w:spacing w:val="-1"/>
          <w:sz w:val="22"/>
          <w:szCs w:val="22"/>
          <w:u w:color="75787B"/>
          <w:lang w:val="en-GB"/>
        </w:rPr>
        <w:t>at</w:t>
      </w:r>
      <w:r w:rsidRPr="000A152B">
        <w:rPr>
          <w:rStyle w:val="Nessuno"/>
          <w:color w:val="595959" w:themeColor="text1" w:themeTint="A6"/>
          <w:spacing w:val="-1"/>
          <w:sz w:val="22"/>
          <w:szCs w:val="22"/>
          <w:u w:color="75787B"/>
          <w:lang w:val="en-GB"/>
        </w:rPr>
        <w:t xml:space="preserve"> new conditions that would be more advantageous. The refinancing of the debt will be </w:t>
      </w:r>
      <w:r w:rsidR="00B8139F">
        <w:rPr>
          <w:rStyle w:val="Nessuno"/>
          <w:color w:val="595959" w:themeColor="text1" w:themeTint="A6"/>
          <w:spacing w:val="-1"/>
          <w:sz w:val="22"/>
          <w:szCs w:val="22"/>
          <w:u w:color="75787B"/>
          <w:lang w:val="en-GB"/>
        </w:rPr>
        <w:t xml:space="preserve">take place </w:t>
      </w:r>
      <w:r w:rsidRPr="000A152B">
        <w:rPr>
          <w:rStyle w:val="Nessuno"/>
          <w:color w:val="595959" w:themeColor="text1" w:themeTint="A6"/>
          <w:spacing w:val="-1"/>
          <w:sz w:val="22"/>
          <w:szCs w:val="22"/>
          <w:u w:color="75787B"/>
          <w:lang w:val="en-GB"/>
        </w:rPr>
        <w:t xml:space="preserve">through a new bond issue with a total value of </w:t>
      </w:r>
      <w:r w:rsidR="003515FB" w:rsidRPr="000A152B">
        <w:rPr>
          <w:rStyle w:val="Nessuno"/>
          <w:color w:val="595959" w:themeColor="text1" w:themeTint="A6"/>
          <w:spacing w:val="-1"/>
          <w:sz w:val="22"/>
          <w:szCs w:val="22"/>
          <w:u w:color="75787B"/>
          <w:lang w:val="en-GB"/>
        </w:rPr>
        <w:t xml:space="preserve">Euro </w:t>
      </w:r>
      <w:r w:rsidRPr="000A152B">
        <w:rPr>
          <w:rStyle w:val="Nessuno"/>
          <w:color w:val="595959" w:themeColor="text1" w:themeTint="A6"/>
          <w:spacing w:val="-1"/>
          <w:sz w:val="22"/>
          <w:szCs w:val="22"/>
          <w:u w:color="75787B"/>
          <w:lang w:val="en-GB"/>
        </w:rPr>
        <w:t>2.6 billion which will fully repay all the previous issues.</w:t>
      </w:r>
    </w:p>
    <w:p w:rsidR="00F71697" w:rsidRPr="000A152B" w:rsidRDefault="00523B65" w:rsidP="00523B65">
      <w:pPr>
        <w:rPr>
          <w:sz w:val="22"/>
          <w:szCs w:val="22"/>
        </w:rPr>
      </w:pPr>
      <w:r w:rsidRPr="000A152B">
        <w:rPr>
          <w:sz w:val="22"/>
          <w:szCs w:val="22"/>
        </w:rPr>
        <w:t> </w:t>
      </w:r>
    </w:p>
    <w:p w:rsidR="00F71697" w:rsidRPr="000A152B" w:rsidRDefault="007C3EA0" w:rsidP="00F71697">
      <w:pPr>
        <w:tabs>
          <w:tab w:val="num" w:pos="720"/>
        </w:tabs>
        <w:spacing w:line="260" w:lineRule="exact"/>
        <w:jc w:val="both"/>
        <w:rPr>
          <w:color w:val="595959" w:themeColor="text1" w:themeTint="A6"/>
          <w:spacing w:val="-1"/>
          <w:sz w:val="22"/>
          <w:szCs w:val="22"/>
          <w:u w:color="75787B"/>
        </w:rPr>
      </w:pPr>
      <w:r w:rsidRPr="000A152B">
        <w:rPr>
          <w:color w:val="595959" w:themeColor="text1" w:themeTint="A6"/>
          <w:spacing w:val="-1"/>
          <w:sz w:val="22"/>
          <w:szCs w:val="22"/>
          <w:u w:color="75787B"/>
        </w:rPr>
        <w:t xml:space="preserve">The corporate reorganization will create a new </w:t>
      </w:r>
      <w:r w:rsidRPr="000A152B">
        <w:rPr>
          <w:b/>
          <w:color w:val="595959" w:themeColor="text1" w:themeTint="A6"/>
          <w:spacing w:val="-1"/>
          <w:sz w:val="22"/>
          <w:szCs w:val="22"/>
          <w:u w:color="75787B"/>
        </w:rPr>
        <w:t>Nexi</w:t>
      </w:r>
      <w:r w:rsidRPr="000A152B">
        <w:rPr>
          <w:color w:val="595959" w:themeColor="text1" w:themeTint="A6"/>
          <w:spacing w:val="-1"/>
          <w:sz w:val="22"/>
          <w:szCs w:val="22"/>
          <w:u w:color="75787B"/>
        </w:rPr>
        <w:t xml:space="preserve"> group </w:t>
      </w:r>
      <w:r w:rsidR="00B8139F">
        <w:rPr>
          <w:color w:val="595959" w:themeColor="text1" w:themeTint="A6"/>
          <w:spacing w:val="-1"/>
          <w:sz w:val="22"/>
          <w:szCs w:val="22"/>
          <w:u w:color="75787B"/>
        </w:rPr>
        <w:t>that</w:t>
      </w:r>
      <w:r w:rsidRPr="000A152B">
        <w:rPr>
          <w:color w:val="595959" w:themeColor="text1" w:themeTint="A6"/>
          <w:spacing w:val="-1"/>
          <w:sz w:val="22"/>
          <w:szCs w:val="22"/>
          <w:u w:color="75787B"/>
        </w:rPr>
        <w:t xml:space="preserve"> will also include </w:t>
      </w:r>
      <w:r w:rsidRPr="000A152B">
        <w:rPr>
          <w:b/>
          <w:color w:val="595959" w:themeColor="text1" w:themeTint="A6"/>
          <w:spacing w:val="-1"/>
          <w:sz w:val="22"/>
          <w:szCs w:val="22"/>
          <w:u w:color="75787B"/>
        </w:rPr>
        <w:t>Mercury Payment Services</w:t>
      </w:r>
      <w:r w:rsidRPr="000A152B">
        <w:rPr>
          <w:color w:val="595959" w:themeColor="text1" w:themeTint="A6"/>
          <w:spacing w:val="-1"/>
          <w:sz w:val="22"/>
          <w:szCs w:val="22"/>
          <w:u w:color="75787B"/>
        </w:rPr>
        <w:t xml:space="preserve"> (formerly </w:t>
      </w:r>
      <w:proofErr w:type="spellStart"/>
      <w:r w:rsidRPr="000A152B">
        <w:rPr>
          <w:color w:val="595959" w:themeColor="text1" w:themeTint="A6"/>
          <w:spacing w:val="-1"/>
          <w:sz w:val="22"/>
          <w:szCs w:val="22"/>
          <w:u w:color="75787B"/>
        </w:rPr>
        <w:t>Setefi</w:t>
      </w:r>
      <w:proofErr w:type="spellEnd"/>
      <w:r w:rsidRPr="000A152B">
        <w:rPr>
          <w:color w:val="595959" w:themeColor="text1" w:themeTint="A6"/>
          <w:spacing w:val="-1"/>
          <w:sz w:val="22"/>
          <w:szCs w:val="22"/>
          <w:u w:color="75787B"/>
        </w:rPr>
        <w:t xml:space="preserve"> Payment Services), a company acquired in 2016 by </w:t>
      </w:r>
      <w:r w:rsidRPr="000A152B">
        <w:rPr>
          <w:b/>
          <w:color w:val="595959" w:themeColor="text1" w:themeTint="A6"/>
          <w:spacing w:val="-1"/>
          <w:sz w:val="22"/>
          <w:szCs w:val="22"/>
          <w:u w:color="75787B"/>
        </w:rPr>
        <w:t>Nexi</w:t>
      </w:r>
      <w:r w:rsidRPr="000A152B">
        <w:rPr>
          <w:color w:val="595959" w:themeColor="text1" w:themeTint="A6"/>
          <w:spacing w:val="-1"/>
          <w:sz w:val="22"/>
          <w:szCs w:val="22"/>
          <w:u w:color="75787B"/>
        </w:rPr>
        <w:t xml:space="preserve"> shareholders, thus creating a Euro 950 million turnover </w:t>
      </w:r>
      <w:r w:rsidR="00B8139F">
        <w:rPr>
          <w:color w:val="595959" w:themeColor="text1" w:themeTint="A6"/>
          <w:spacing w:val="-1"/>
          <w:sz w:val="22"/>
          <w:szCs w:val="22"/>
          <w:u w:color="75787B"/>
        </w:rPr>
        <w:t xml:space="preserve">business </w:t>
      </w:r>
      <w:r w:rsidRPr="000A152B">
        <w:rPr>
          <w:color w:val="595959" w:themeColor="text1" w:themeTint="A6"/>
          <w:spacing w:val="-1"/>
          <w:sz w:val="22"/>
          <w:szCs w:val="22"/>
          <w:u w:color="75787B"/>
        </w:rPr>
        <w:t>fully focused on the development of digital payments in partnership with banks and which will contribute to the modernization and digitization of the country.</w:t>
      </w:r>
      <w:r w:rsidR="00F71697" w:rsidRPr="000A152B">
        <w:rPr>
          <w:color w:val="595959" w:themeColor="text1" w:themeTint="A6"/>
          <w:spacing w:val="-1"/>
          <w:sz w:val="22"/>
          <w:szCs w:val="22"/>
          <w:u w:color="75787B"/>
        </w:rPr>
        <w:t xml:space="preserve"> </w:t>
      </w:r>
    </w:p>
    <w:p w:rsidR="00B009D5" w:rsidRPr="000A152B" w:rsidRDefault="00B009D5" w:rsidP="00F71697">
      <w:pPr>
        <w:tabs>
          <w:tab w:val="num" w:pos="720"/>
        </w:tabs>
        <w:spacing w:line="260" w:lineRule="exact"/>
        <w:jc w:val="both"/>
        <w:rPr>
          <w:color w:val="595959" w:themeColor="text1" w:themeTint="A6"/>
          <w:spacing w:val="-1"/>
          <w:sz w:val="22"/>
          <w:szCs w:val="22"/>
          <w:u w:color="75787B"/>
        </w:rPr>
      </w:pPr>
    </w:p>
    <w:p w:rsidR="00B009D5" w:rsidRPr="000A152B" w:rsidRDefault="00B009D5" w:rsidP="00F71697">
      <w:pPr>
        <w:tabs>
          <w:tab w:val="num" w:pos="720"/>
        </w:tabs>
        <w:spacing w:line="260" w:lineRule="exact"/>
        <w:jc w:val="both"/>
        <w:rPr>
          <w:color w:val="595959" w:themeColor="text1" w:themeTint="A6"/>
          <w:spacing w:val="-1"/>
          <w:sz w:val="22"/>
          <w:szCs w:val="22"/>
          <w:u w:color="75787B"/>
        </w:rPr>
      </w:pPr>
    </w:p>
    <w:p w:rsidR="00F71697" w:rsidRPr="000A152B" w:rsidRDefault="00F71697" w:rsidP="00F71697">
      <w:pPr>
        <w:spacing w:line="260" w:lineRule="exact"/>
        <w:jc w:val="both"/>
        <w:rPr>
          <w:color w:val="595959" w:themeColor="text1" w:themeTint="A6"/>
          <w:spacing w:val="-1"/>
          <w:sz w:val="22"/>
          <w:szCs w:val="22"/>
          <w:u w:color="75787B"/>
        </w:rPr>
      </w:pPr>
    </w:p>
    <w:p w:rsidR="00F71697" w:rsidRPr="000A152B" w:rsidRDefault="00F71697" w:rsidP="00F71697">
      <w:pPr>
        <w:pBdr>
          <w:bottom w:val="single" w:sz="6" w:space="0" w:color="000000"/>
        </w:pBdr>
        <w:spacing w:line="260" w:lineRule="exact"/>
        <w:jc w:val="both"/>
        <w:rPr>
          <w:rStyle w:val="Nessuno"/>
          <w:color w:val="75787B"/>
          <w:spacing w:val="-1"/>
          <w:sz w:val="22"/>
          <w:szCs w:val="22"/>
          <w:u w:color="75787B"/>
          <w:lang w:val="en-GB"/>
        </w:rPr>
      </w:pPr>
    </w:p>
    <w:p w:rsidR="00F71697" w:rsidRPr="000A152B" w:rsidRDefault="00F71697" w:rsidP="00F71697">
      <w:pPr>
        <w:rPr>
          <w:rStyle w:val="Nessuno"/>
          <w:color w:val="75787B"/>
          <w:spacing w:val="-1"/>
          <w:sz w:val="22"/>
          <w:szCs w:val="22"/>
          <w:highlight w:val="yellow"/>
          <w:u w:color="75787B"/>
          <w:lang w:val="en-GB"/>
        </w:rPr>
      </w:pPr>
    </w:p>
    <w:p w:rsidR="00F71697" w:rsidRPr="000A152B" w:rsidRDefault="00F71697" w:rsidP="00F71697">
      <w:pPr>
        <w:spacing w:line="260" w:lineRule="exact"/>
        <w:jc w:val="both"/>
        <w:rPr>
          <w:rStyle w:val="Nessuno"/>
          <w:color w:val="75787B"/>
          <w:spacing w:val="-1"/>
          <w:sz w:val="22"/>
          <w:szCs w:val="22"/>
          <w:u w:color="75787B"/>
          <w:lang w:val="en-GB"/>
        </w:rPr>
      </w:pPr>
    </w:p>
    <w:p w:rsidR="00F71697" w:rsidRPr="000A152B" w:rsidRDefault="00F71697" w:rsidP="00F71697">
      <w:pPr>
        <w:spacing w:line="260" w:lineRule="exact"/>
        <w:jc w:val="both"/>
        <w:rPr>
          <w:rStyle w:val="Nessuno"/>
          <w:b/>
          <w:color w:val="4472C4" w:themeColor="accent1"/>
          <w:spacing w:val="-1"/>
          <w:sz w:val="22"/>
          <w:szCs w:val="22"/>
          <w:u w:color="75787B"/>
          <w:lang w:val="en-GB"/>
        </w:rPr>
      </w:pPr>
      <w:r w:rsidRPr="000A152B">
        <w:rPr>
          <w:rStyle w:val="Nessuno"/>
          <w:b/>
          <w:color w:val="4472C4" w:themeColor="accent1"/>
          <w:spacing w:val="-1"/>
          <w:sz w:val="22"/>
          <w:szCs w:val="22"/>
          <w:u w:color="75787B"/>
          <w:lang w:val="en-GB"/>
        </w:rPr>
        <w:t>External Communication &amp; Media Relations - Nexi</w:t>
      </w:r>
    </w:p>
    <w:p w:rsidR="00F71697" w:rsidRPr="000A152B" w:rsidRDefault="00F71697" w:rsidP="00F71697">
      <w:pPr>
        <w:spacing w:line="260" w:lineRule="exact"/>
        <w:jc w:val="both"/>
        <w:rPr>
          <w:rStyle w:val="Nessuno"/>
          <w:color w:val="595959" w:themeColor="text1" w:themeTint="A6"/>
          <w:spacing w:val="-1"/>
          <w:sz w:val="22"/>
          <w:szCs w:val="22"/>
          <w:u w:color="75787B"/>
          <w:lang w:val="en-GB"/>
        </w:rPr>
      </w:pPr>
    </w:p>
    <w:p w:rsidR="00F71697" w:rsidRPr="000A152B" w:rsidRDefault="00F71697" w:rsidP="00F71697">
      <w:pPr>
        <w:spacing w:line="260" w:lineRule="exact"/>
        <w:jc w:val="both"/>
        <w:rPr>
          <w:rStyle w:val="Nessuno"/>
          <w:color w:val="595959" w:themeColor="text1" w:themeTint="A6"/>
          <w:spacing w:val="-1"/>
          <w:sz w:val="22"/>
          <w:szCs w:val="22"/>
          <w:u w:color="75787B"/>
          <w:lang w:val="en-GB"/>
        </w:rPr>
      </w:pPr>
      <w:r w:rsidRPr="000A152B">
        <w:rPr>
          <w:rStyle w:val="Nessuno"/>
          <w:color w:val="595959" w:themeColor="text1" w:themeTint="A6"/>
          <w:spacing w:val="-1"/>
          <w:sz w:val="22"/>
          <w:szCs w:val="22"/>
          <w:u w:color="75787B"/>
          <w:lang w:val="en-GB"/>
        </w:rPr>
        <w:t xml:space="preserve">Daniele de </w:t>
      </w:r>
      <w:proofErr w:type="spellStart"/>
      <w:r w:rsidRPr="000A152B">
        <w:rPr>
          <w:rStyle w:val="Nessuno"/>
          <w:color w:val="595959" w:themeColor="text1" w:themeTint="A6"/>
          <w:spacing w:val="-1"/>
          <w:sz w:val="22"/>
          <w:szCs w:val="22"/>
          <w:u w:color="75787B"/>
          <w:lang w:val="en-GB"/>
        </w:rPr>
        <w:t>Sanctis</w:t>
      </w:r>
      <w:proofErr w:type="spellEnd"/>
      <w:r w:rsidRPr="000A152B">
        <w:rPr>
          <w:rStyle w:val="Nessuno"/>
          <w:color w:val="595959" w:themeColor="text1" w:themeTint="A6"/>
          <w:spacing w:val="-1"/>
          <w:sz w:val="22"/>
          <w:szCs w:val="22"/>
          <w:u w:color="75787B"/>
          <w:lang w:val="en-GB"/>
        </w:rPr>
        <w:tab/>
      </w:r>
      <w:r w:rsidRPr="000A152B">
        <w:rPr>
          <w:rStyle w:val="Nessuno"/>
          <w:color w:val="595959" w:themeColor="text1" w:themeTint="A6"/>
          <w:spacing w:val="-1"/>
          <w:sz w:val="22"/>
          <w:szCs w:val="22"/>
          <w:u w:color="75787B"/>
          <w:lang w:val="en-GB"/>
        </w:rPr>
        <w:tab/>
      </w:r>
      <w:r w:rsidRPr="000A152B">
        <w:rPr>
          <w:rStyle w:val="Nessuno"/>
          <w:color w:val="595959" w:themeColor="text1" w:themeTint="A6"/>
          <w:spacing w:val="-1"/>
          <w:sz w:val="22"/>
          <w:szCs w:val="22"/>
          <w:u w:color="75787B"/>
          <w:lang w:val="en-GB"/>
        </w:rPr>
        <w:tab/>
      </w:r>
      <w:r w:rsidRPr="000A152B">
        <w:rPr>
          <w:rStyle w:val="Nessuno"/>
          <w:color w:val="595959" w:themeColor="text1" w:themeTint="A6"/>
          <w:spacing w:val="-1"/>
          <w:sz w:val="22"/>
          <w:szCs w:val="22"/>
          <w:u w:color="75787B"/>
          <w:lang w:val="en-GB"/>
        </w:rPr>
        <w:tab/>
      </w:r>
      <w:r w:rsidRPr="000A152B">
        <w:rPr>
          <w:rStyle w:val="Nessuno"/>
          <w:color w:val="595959" w:themeColor="text1" w:themeTint="A6"/>
          <w:spacing w:val="-1"/>
          <w:sz w:val="22"/>
          <w:szCs w:val="22"/>
          <w:u w:color="75787B"/>
          <w:lang w:val="en-GB"/>
        </w:rPr>
        <w:tab/>
      </w:r>
    </w:p>
    <w:p w:rsidR="00F71697" w:rsidRPr="000A152B" w:rsidRDefault="00F71697" w:rsidP="00F71697">
      <w:pPr>
        <w:spacing w:line="260" w:lineRule="exact"/>
        <w:jc w:val="both"/>
        <w:rPr>
          <w:rStyle w:val="Nessuno"/>
          <w:color w:val="595959" w:themeColor="text1" w:themeTint="A6"/>
          <w:spacing w:val="-1"/>
          <w:sz w:val="22"/>
          <w:szCs w:val="22"/>
          <w:u w:color="75787B"/>
          <w:lang w:val="en-GB"/>
        </w:rPr>
      </w:pPr>
      <w:r w:rsidRPr="000A152B">
        <w:rPr>
          <w:rStyle w:val="Nessuno"/>
          <w:color w:val="595959" w:themeColor="text1" w:themeTint="A6"/>
          <w:spacing w:val="-1"/>
          <w:sz w:val="22"/>
          <w:szCs w:val="22"/>
          <w:u w:color="75787B"/>
          <w:lang w:val="en-GB"/>
        </w:rPr>
        <w:t>346.015.1000</w:t>
      </w:r>
      <w:r w:rsidRPr="000A152B">
        <w:rPr>
          <w:rStyle w:val="Nessuno"/>
          <w:color w:val="595959" w:themeColor="text1" w:themeTint="A6"/>
          <w:spacing w:val="-1"/>
          <w:sz w:val="22"/>
          <w:szCs w:val="22"/>
          <w:u w:color="75787B"/>
          <w:lang w:val="en-GB"/>
        </w:rPr>
        <w:tab/>
      </w:r>
      <w:r w:rsidRPr="000A152B">
        <w:rPr>
          <w:rStyle w:val="Nessuno"/>
          <w:color w:val="595959" w:themeColor="text1" w:themeTint="A6"/>
          <w:spacing w:val="-1"/>
          <w:sz w:val="22"/>
          <w:szCs w:val="22"/>
          <w:u w:color="75787B"/>
          <w:lang w:val="en-GB"/>
        </w:rPr>
        <w:tab/>
      </w:r>
      <w:r w:rsidRPr="000A152B">
        <w:rPr>
          <w:rStyle w:val="Nessuno"/>
          <w:color w:val="595959" w:themeColor="text1" w:themeTint="A6"/>
          <w:spacing w:val="-1"/>
          <w:sz w:val="22"/>
          <w:szCs w:val="22"/>
          <w:u w:color="75787B"/>
          <w:lang w:val="en-GB"/>
        </w:rPr>
        <w:tab/>
      </w:r>
    </w:p>
    <w:p w:rsidR="00F71697" w:rsidRPr="000A152B" w:rsidRDefault="00F71697" w:rsidP="00F71697">
      <w:pPr>
        <w:spacing w:line="260" w:lineRule="exact"/>
        <w:jc w:val="both"/>
        <w:rPr>
          <w:rStyle w:val="Nessuno"/>
          <w:color w:val="595959" w:themeColor="text1" w:themeTint="A6"/>
          <w:spacing w:val="-1"/>
          <w:sz w:val="22"/>
          <w:szCs w:val="22"/>
          <w:u w:color="75787B"/>
          <w:lang w:val="en-GB"/>
        </w:rPr>
      </w:pPr>
      <w:r w:rsidRPr="000A152B">
        <w:rPr>
          <w:rStyle w:val="Nessuno"/>
          <w:color w:val="595959" w:themeColor="text1" w:themeTint="A6"/>
          <w:spacing w:val="-1"/>
          <w:sz w:val="22"/>
          <w:szCs w:val="22"/>
          <w:u w:color="75787B"/>
          <w:lang w:val="en-GB"/>
        </w:rPr>
        <w:t>02.3488.4491</w:t>
      </w:r>
    </w:p>
    <w:p w:rsidR="00F71697" w:rsidRPr="000A152B" w:rsidRDefault="00FA0767" w:rsidP="00F71697">
      <w:pPr>
        <w:spacing w:line="260" w:lineRule="exact"/>
        <w:jc w:val="both"/>
        <w:rPr>
          <w:rStyle w:val="Nessuno"/>
          <w:color w:val="595959" w:themeColor="text1" w:themeTint="A6"/>
          <w:spacing w:val="-1"/>
          <w:sz w:val="22"/>
          <w:szCs w:val="22"/>
          <w:u w:color="75787B"/>
          <w:lang w:val="en-GB"/>
        </w:rPr>
      </w:pPr>
      <w:hyperlink r:id="rId8" w:history="1">
        <w:r w:rsidR="00F71697" w:rsidRPr="000A152B">
          <w:rPr>
            <w:rStyle w:val="Nessuno"/>
            <w:color w:val="595959" w:themeColor="text1" w:themeTint="A6"/>
            <w:sz w:val="22"/>
            <w:szCs w:val="22"/>
            <w:lang w:val="en-GB"/>
          </w:rPr>
          <w:t>daniele.desanctis@nexi.it</w:t>
        </w:r>
      </w:hyperlink>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r w:rsidR="00F71697" w:rsidRPr="000A152B">
        <w:rPr>
          <w:rStyle w:val="Nessuno"/>
          <w:color w:val="595959" w:themeColor="text1" w:themeTint="A6"/>
          <w:spacing w:val="-1"/>
          <w:sz w:val="22"/>
          <w:szCs w:val="22"/>
          <w:u w:color="75787B"/>
          <w:lang w:val="en-GB"/>
        </w:rPr>
        <w:tab/>
      </w:r>
    </w:p>
    <w:p w:rsidR="00F71697" w:rsidRPr="000A152B" w:rsidRDefault="00F71697" w:rsidP="00F71697">
      <w:pPr>
        <w:spacing w:line="260" w:lineRule="exact"/>
        <w:jc w:val="both"/>
        <w:rPr>
          <w:rStyle w:val="Nessuno"/>
          <w:color w:val="595959" w:themeColor="text1" w:themeTint="A6"/>
          <w:spacing w:val="-1"/>
          <w:sz w:val="22"/>
          <w:szCs w:val="22"/>
          <w:u w:color="75787B"/>
          <w:lang w:val="en-GB"/>
        </w:rPr>
      </w:pPr>
      <w:r w:rsidRPr="000A152B">
        <w:rPr>
          <w:rStyle w:val="Nessuno"/>
          <w:color w:val="595959" w:themeColor="text1" w:themeTint="A6"/>
          <w:spacing w:val="-1"/>
          <w:sz w:val="22"/>
          <w:szCs w:val="22"/>
          <w:u w:color="75787B"/>
          <w:lang w:val="en-GB"/>
        </w:rPr>
        <w:t xml:space="preserve">Matteo </w:t>
      </w:r>
      <w:proofErr w:type="spellStart"/>
      <w:r w:rsidRPr="000A152B">
        <w:rPr>
          <w:rStyle w:val="Nessuno"/>
          <w:color w:val="595959" w:themeColor="text1" w:themeTint="A6"/>
          <w:spacing w:val="-1"/>
          <w:sz w:val="22"/>
          <w:szCs w:val="22"/>
          <w:u w:color="75787B"/>
          <w:lang w:val="en-GB"/>
        </w:rPr>
        <w:t>Abbondanza</w:t>
      </w:r>
      <w:proofErr w:type="spellEnd"/>
    </w:p>
    <w:p w:rsidR="00F71697" w:rsidRPr="000A152B" w:rsidRDefault="00F71697" w:rsidP="00F71697">
      <w:pPr>
        <w:spacing w:line="260" w:lineRule="exact"/>
        <w:jc w:val="both"/>
        <w:rPr>
          <w:rStyle w:val="Nessuno"/>
          <w:color w:val="595959" w:themeColor="text1" w:themeTint="A6"/>
          <w:spacing w:val="-1"/>
          <w:sz w:val="22"/>
          <w:szCs w:val="22"/>
          <w:u w:color="75787B"/>
          <w:lang w:val="en-GB"/>
        </w:rPr>
      </w:pPr>
      <w:r w:rsidRPr="000A152B">
        <w:rPr>
          <w:rStyle w:val="Nessuno"/>
          <w:color w:val="595959" w:themeColor="text1" w:themeTint="A6"/>
          <w:spacing w:val="-1"/>
          <w:sz w:val="22"/>
          <w:szCs w:val="22"/>
          <w:u w:color="75787B"/>
          <w:lang w:val="en-GB"/>
        </w:rPr>
        <w:t>348.4068.858</w:t>
      </w:r>
    </w:p>
    <w:p w:rsidR="00F71697" w:rsidRPr="000A152B" w:rsidRDefault="00F71697" w:rsidP="00F71697">
      <w:pPr>
        <w:spacing w:line="260" w:lineRule="exact"/>
        <w:jc w:val="both"/>
        <w:rPr>
          <w:rStyle w:val="Nessuno"/>
          <w:color w:val="595959" w:themeColor="text1" w:themeTint="A6"/>
          <w:spacing w:val="-1"/>
          <w:sz w:val="22"/>
          <w:szCs w:val="22"/>
          <w:u w:color="75787B"/>
          <w:lang w:val="en-GB"/>
        </w:rPr>
      </w:pPr>
      <w:r w:rsidRPr="000A152B">
        <w:rPr>
          <w:rStyle w:val="Nessuno"/>
          <w:color w:val="595959" w:themeColor="text1" w:themeTint="A6"/>
          <w:spacing w:val="-1"/>
          <w:sz w:val="22"/>
          <w:szCs w:val="22"/>
          <w:u w:color="75787B"/>
          <w:lang w:val="en-GB"/>
        </w:rPr>
        <w:t>02.3488.2202</w:t>
      </w:r>
    </w:p>
    <w:p w:rsidR="00F71697" w:rsidRPr="000A152B" w:rsidRDefault="00F71697" w:rsidP="00F71697">
      <w:pPr>
        <w:spacing w:line="260" w:lineRule="exact"/>
        <w:jc w:val="both"/>
        <w:rPr>
          <w:rStyle w:val="Nessuno"/>
          <w:color w:val="595959" w:themeColor="text1" w:themeTint="A6"/>
          <w:spacing w:val="-1"/>
          <w:sz w:val="22"/>
          <w:szCs w:val="22"/>
          <w:u w:color="75787B"/>
          <w:lang w:val="en-GB"/>
        </w:rPr>
      </w:pPr>
      <w:r w:rsidRPr="000A152B">
        <w:rPr>
          <w:rStyle w:val="Nessuno"/>
          <w:color w:val="595959" w:themeColor="text1" w:themeTint="A6"/>
          <w:spacing w:val="-1"/>
          <w:sz w:val="22"/>
          <w:szCs w:val="22"/>
          <w:u w:color="75787B"/>
          <w:lang w:val="en-GB"/>
        </w:rPr>
        <w:t>matteo.abbondanza@nexi.it</w:t>
      </w:r>
    </w:p>
    <w:p w:rsidR="00F71697" w:rsidRPr="000A152B" w:rsidRDefault="00F71697" w:rsidP="00F71697">
      <w:pPr>
        <w:spacing w:line="260" w:lineRule="exact"/>
        <w:jc w:val="both"/>
        <w:rPr>
          <w:rStyle w:val="Nessuno"/>
          <w:color w:val="595959" w:themeColor="text1" w:themeTint="A6"/>
          <w:spacing w:val="-1"/>
          <w:sz w:val="22"/>
          <w:szCs w:val="22"/>
          <w:u w:color="75787B"/>
          <w:lang w:val="en-GB"/>
        </w:rPr>
      </w:pPr>
    </w:p>
    <w:p w:rsidR="00F71697" w:rsidRPr="000A152B" w:rsidRDefault="00F71697" w:rsidP="00F71697">
      <w:pPr>
        <w:spacing w:line="260" w:lineRule="exact"/>
        <w:jc w:val="both"/>
        <w:rPr>
          <w:rStyle w:val="Nessuno"/>
          <w:color w:val="75787B"/>
          <w:spacing w:val="-1"/>
          <w:sz w:val="22"/>
          <w:szCs w:val="22"/>
          <w:u w:color="75787B"/>
          <w:lang w:val="en-GB"/>
        </w:rPr>
      </w:pPr>
    </w:p>
    <w:p w:rsidR="002D2E9E" w:rsidRPr="000A152B" w:rsidRDefault="002D2E9E">
      <w:pPr>
        <w:spacing w:line="260" w:lineRule="exact"/>
        <w:jc w:val="both"/>
        <w:rPr>
          <w:rStyle w:val="Nessuno"/>
          <w:color w:val="75787B"/>
          <w:spacing w:val="-1"/>
          <w:sz w:val="22"/>
          <w:szCs w:val="22"/>
          <w:u w:color="75787B"/>
          <w:lang w:val="en-GB"/>
        </w:rPr>
      </w:pPr>
    </w:p>
    <w:p w:rsidR="002D2E9E" w:rsidRPr="000A152B" w:rsidRDefault="002D2E9E">
      <w:pPr>
        <w:spacing w:line="260" w:lineRule="exact"/>
        <w:jc w:val="both"/>
        <w:rPr>
          <w:rStyle w:val="Nessuno"/>
          <w:color w:val="75787B"/>
          <w:spacing w:val="-1"/>
          <w:sz w:val="22"/>
          <w:szCs w:val="22"/>
          <w:u w:color="75787B"/>
          <w:lang w:val="en-GB"/>
        </w:rPr>
      </w:pPr>
    </w:p>
    <w:p w:rsidR="002D2E9E" w:rsidRPr="000A152B" w:rsidRDefault="002D2E9E">
      <w:pPr>
        <w:spacing w:line="260" w:lineRule="exact"/>
        <w:jc w:val="both"/>
        <w:rPr>
          <w:rStyle w:val="Nessuno"/>
          <w:color w:val="75787B"/>
          <w:spacing w:val="-1"/>
          <w:sz w:val="22"/>
          <w:szCs w:val="22"/>
          <w:u w:color="75787B"/>
          <w:lang w:val="en-GB"/>
        </w:rPr>
      </w:pPr>
    </w:p>
    <w:p w:rsidR="002D2E9E" w:rsidRPr="000A152B" w:rsidRDefault="002D2E9E">
      <w:pPr>
        <w:spacing w:line="260" w:lineRule="exact"/>
        <w:jc w:val="both"/>
        <w:rPr>
          <w:rStyle w:val="Nessuno"/>
          <w:color w:val="75787B"/>
          <w:spacing w:val="-1"/>
          <w:sz w:val="22"/>
          <w:szCs w:val="22"/>
          <w:u w:color="75787B"/>
          <w:lang w:val="en-GB"/>
        </w:rPr>
      </w:pPr>
    </w:p>
    <w:p w:rsidR="002D2E9E" w:rsidRPr="000A152B" w:rsidRDefault="002D2E9E">
      <w:pPr>
        <w:spacing w:line="260" w:lineRule="exact"/>
        <w:jc w:val="both"/>
        <w:rPr>
          <w:rStyle w:val="Nessuno"/>
          <w:color w:val="75787B"/>
          <w:spacing w:val="-1"/>
          <w:sz w:val="22"/>
          <w:szCs w:val="22"/>
          <w:u w:color="75787B"/>
          <w:lang w:val="en-GB"/>
        </w:rPr>
      </w:pPr>
    </w:p>
    <w:p w:rsidR="002D2E9E" w:rsidRPr="000A152B" w:rsidRDefault="002D2E9E">
      <w:pPr>
        <w:spacing w:line="260" w:lineRule="exact"/>
        <w:jc w:val="both"/>
        <w:rPr>
          <w:rStyle w:val="Nessuno"/>
          <w:color w:val="75787B"/>
          <w:spacing w:val="-1"/>
          <w:sz w:val="22"/>
          <w:szCs w:val="22"/>
          <w:u w:color="75787B"/>
          <w:lang w:val="en-GB"/>
        </w:rPr>
      </w:pPr>
    </w:p>
    <w:p w:rsidR="002D2E9E" w:rsidRPr="000A152B" w:rsidRDefault="002D2E9E">
      <w:pPr>
        <w:spacing w:line="260" w:lineRule="exact"/>
        <w:jc w:val="both"/>
        <w:rPr>
          <w:rStyle w:val="Nessuno"/>
          <w:color w:val="75787B"/>
          <w:spacing w:val="-1"/>
          <w:sz w:val="22"/>
          <w:szCs w:val="22"/>
          <w:u w:color="75787B"/>
          <w:lang w:val="en-GB"/>
        </w:rPr>
      </w:pPr>
    </w:p>
    <w:p w:rsidR="002D2E9E" w:rsidRPr="000A152B" w:rsidRDefault="002D2E9E">
      <w:pPr>
        <w:spacing w:line="260" w:lineRule="exact"/>
        <w:jc w:val="both"/>
        <w:rPr>
          <w:rStyle w:val="Nessuno"/>
          <w:color w:val="75787B"/>
          <w:spacing w:val="-1"/>
          <w:sz w:val="22"/>
          <w:szCs w:val="22"/>
          <w:u w:color="75787B"/>
          <w:lang w:val="en-GB"/>
        </w:rPr>
      </w:pPr>
    </w:p>
    <w:p w:rsidR="002D2E9E" w:rsidRPr="000A152B" w:rsidRDefault="002D2E9E">
      <w:pPr>
        <w:spacing w:line="260" w:lineRule="exact"/>
        <w:jc w:val="both"/>
        <w:rPr>
          <w:rStyle w:val="Nessuno"/>
          <w:color w:val="75787B"/>
          <w:spacing w:val="-1"/>
          <w:sz w:val="22"/>
          <w:szCs w:val="22"/>
          <w:u w:color="75787B"/>
          <w:lang w:val="en-GB"/>
        </w:rPr>
      </w:pPr>
    </w:p>
    <w:sectPr w:rsidR="002D2E9E" w:rsidRPr="000A152B">
      <w:headerReference w:type="default" r:id="rId9"/>
      <w:pgSz w:w="11900" w:h="16840"/>
      <w:pgMar w:top="2269" w:right="1701" w:bottom="22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67" w:rsidRDefault="00FA0767">
      <w:pPr>
        <w:spacing w:line="240" w:lineRule="auto"/>
      </w:pPr>
      <w:r>
        <w:separator/>
      </w:r>
    </w:p>
  </w:endnote>
  <w:endnote w:type="continuationSeparator" w:id="0">
    <w:p w:rsidR="00FA0767" w:rsidRDefault="00FA0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67" w:rsidRDefault="00FA0767">
      <w:pPr>
        <w:spacing w:line="240" w:lineRule="auto"/>
      </w:pPr>
      <w:r>
        <w:separator/>
      </w:r>
    </w:p>
  </w:footnote>
  <w:footnote w:type="continuationSeparator" w:id="0">
    <w:p w:rsidR="00FA0767" w:rsidRDefault="00FA0767">
      <w:pPr>
        <w:spacing w:line="240" w:lineRule="auto"/>
      </w:pPr>
      <w:r>
        <w:continuationSeparator/>
      </w:r>
    </w:p>
  </w:footnote>
  <w:footnote w:id="1">
    <w:p w:rsidR="003515FB" w:rsidRPr="007C3EA0" w:rsidRDefault="003515FB" w:rsidP="003515FB">
      <w:pPr>
        <w:pStyle w:val="Testonotaapidipagina"/>
        <w:jc w:val="both"/>
        <w:rPr>
          <w:color w:val="595959"/>
          <w:spacing w:val="-1"/>
          <w:lang w:val="en-US"/>
        </w:rPr>
      </w:pPr>
      <w:r w:rsidRPr="007C3EA0">
        <w:rPr>
          <w:rStyle w:val="Rimandonotaapidipagina"/>
          <w:lang w:val="en-US"/>
        </w:rPr>
        <w:t>[1]</w:t>
      </w:r>
      <w:r w:rsidRPr="007C3EA0">
        <w:rPr>
          <w:lang w:val="en-US"/>
        </w:rPr>
        <w:t xml:space="preserve">          </w:t>
      </w:r>
      <w:r w:rsidR="007C3EA0" w:rsidRPr="007C3EA0">
        <w:rPr>
          <w:rStyle w:val="Nessuno"/>
          <w:color w:val="595959"/>
          <w:spacing w:val="-1"/>
          <w:lang w:val="en-US"/>
        </w:rPr>
        <w:t xml:space="preserve">A rating is not a recommendation to buy, sell or hold bonds and may be subject to review or </w:t>
      </w:r>
      <w:r w:rsidR="00C5714D">
        <w:rPr>
          <w:rStyle w:val="Nessuno"/>
          <w:color w:val="595959"/>
          <w:spacing w:val="-1"/>
          <w:lang w:val="en-US"/>
        </w:rPr>
        <w:t xml:space="preserve">may be </w:t>
      </w:r>
      <w:bookmarkStart w:id="0" w:name="_GoBack"/>
      <w:bookmarkEnd w:id="0"/>
      <w:r w:rsidR="007C3EA0" w:rsidRPr="007C3EA0">
        <w:rPr>
          <w:rStyle w:val="Nessuno"/>
          <w:color w:val="595959"/>
          <w:spacing w:val="-1"/>
          <w:lang w:val="en-US"/>
        </w:rPr>
        <w:t>withdraw</w:t>
      </w:r>
      <w:r w:rsidR="00816312">
        <w:rPr>
          <w:rStyle w:val="Nessuno"/>
          <w:color w:val="595959"/>
          <w:spacing w:val="-1"/>
          <w:lang w:val="en-US"/>
        </w:rPr>
        <w:t xml:space="preserve">n </w:t>
      </w:r>
      <w:r w:rsidR="007C3EA0" w:rsidRPr="007C3EA0">
        <w:rPr>
          <w:rStyle w:val="Nessuno"/>
          <w:color w:val="595959"/>
          <w:spacing w:val="-1"/>
          <w:lang w:val="en-US"/>
        </w:rPr>
        <w:t>at any time</w:t>
      </w:r>
      <w:r w:rsidRPr="007C3EA0">
        <w:rPr>
          <w:rStyle w:val="Nessuno"/>
          <w:color w:val="595959"/>
          <w:spacing w:val="-1"/>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A6" w:rsidRDefault="000A6F97">
    <w:pPr>
      <w:pStyle w:val="Intestazione"/>
      <w:tabs>
        <w:tab w:val="clear" w:pos="9638"/>
        <w:tab w:val="right" w:pos="8478"/>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30480</wp:posOffset>
          </wp:positionV>
          <wp:extent cx="7561156" cy="731954"/>
          <wp:effectExtent l="0" t="0" r="0" b="0"/>
          <wp:wrapNone/>
          <wp:docPr id="1073741825" name="officeArt object" descr="Intestata_Nexi_Loghi_RGB.jpg"/>
          <wp:cNvGraphicFramePr/>
          <a:graphic xmlns:a="http://schemas.openxmlformats.org/drawingml/2006/main">
            <a:graphicData uri="http://schemas.openxmlformats.org/drawingml/2006/picture">
              <pic:pic xmlns:pic="http://schemas.openxmlformats.org/drawingml/2006/picture">
                <pic:nvPicPr>
                  <pic:cNvPr id="1073741825" name="Intestata_Nexi_Loghi_RGB.jpg" descr="Intestata_Nexi_Loghi_RGB.jpg"/>
                  <pic:cNvPicPr>
                    <a:picLocks noChangeAspect="1"/>
                  </pic:cNvPicPr>
                </pic:nvPicPr>
                <pic:blipFill>
                  <a:blip r:embed="rId1">
                    <a:extLst/>
                  </a:blip>
                  <a:stretch>
                    <a:fillRect/>
                  </a:stretch>
                </pic:blipFill>
                <pic:spPr>
                  <a:xfrm>
                    <a:off x="0" y="0"/>
                    <a:ext cx="7561156" cy="73195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849"/>
    <w:multiLevelType w:val="hybridMultilevel"/>
    <w:tmpl w:val="3F5C11DE"/>
    <w:numStyleLink w:val="Stileimportato1"/>
  </w:abstractNum>
  <w:abstractNum w:abstractNumId="1" w15:restartNumberingAfterBreak="0">
    <w:nsid w:val="0A725F06"/>
    <w:multiLevelType w:val="hybridMultilevel"/>
    <w:tmpl w:val="7A429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5021B6"/>
    <w:multiLevelType w:val="hybridMultilevel"/>
    <w:tmpl w:val="D1DEF308"/>
    <w:lvl w:ilvl="0" w:tplc="159445C6">
      <w:start w:val="1"/>
      <w:numFmt w:val="bullet"/>
      <w:lvlText w:val="•"/>
      <w:lvlJc w:val="left"/>
      <w:pPr>
        <w:tabs>
          <w:tab w:val="num" w:pos="720"/>
        </w:tabs>
        <w:ind w:left="720" w:hanging="360"/>
      </w:pPr>
      <w:rPr>
        <w:rFonts w:ascii="Arial" w:hAnsi="Arial" w:hint="default"/>
      </w:rPr>
    </w:lvl>
    <w:lvl w:ilvl="1" w:tplc="353492F0" w:tentative="1">
      <w:start w:val="1"/>
      <w:numFmt w:val="bullet"/>
      <w:lvlText w:val="•"/>
      <w:lvlJc w:val="left"/>
      <w:pPr>
        <w:tabs>
          <w:tab w:val="num" w:pos="1440"/>
        </w:tabs>
        <w:ind w:left="1440" w:hanging="360"/>
      </w:pPr>
      <w:rPr>
        <w:rFonts w:ascii="Arial" w:hAnsi="Arial" w:hint="default"/>
      </w:rPr>
    </w:lvl>
    <w:lvl w:ilvl="2" w:tplc="6FCC45BA" w:tentative="1">
      <w:start w:val="1"/>
      <w:numFmt w:val="bullet"/>
      <w:lvlText w:val="•"/>
      <w:lvlJc w:val="left"/>
      <w:pPr>
        <w:tabs>
          <w:tab w:val="num" w:pos="2160"/>
        </w:tabs>
        <w:ind w:left="2160" w:hanging="360"/>
      </w:pPr>
      <w:rPr>
        <w:rFonts w:ascii="Arial" w:hAnsi="Arial" w:hint="default"/>
      </w:rPr>
    </w:lvl>
    <w:lvl w:ilvl="3" w:tplc="45EAA828" w:tentative="1">
      <w:start w:val="1"/>
      <w:numFmt w:val="bullet"/>
      <w:lvlText w:val="•"/>
      <w:lvlJc w:val="left"/>
      <w:pPr>
        <w:tabs>
          <w:tab w:val="num" w:pos="2880"/>
        </w:tabs>
        <w:ind w:left="2880" w:hanging="360"/>
      </w:pPr>
      <w:rPr>
        <w:rFonts w:ascii="Arial" w:hAnsi="Arial" w:hint="default"/>
      </w:rPr>
    </w:lvl>
    <w:lvl w:ilvl="4" w:tplc="974CB02E" w:tentative="1">
      <w:start w:val="1"/>
      <w:numFmt w:val="bullet"/>
      <w:lvlText w:val="•"/>
      <w:lvlJc w:val="left"/>
      <w:pPr>
        <w:tabs>
          <w:tab w:val="num" w:pos="3600"/>
        </w:tabs>
        <w:ind w:left="3600" w:hanging="360"/>
      </w:pPr>
      <w:rPr>
        <w:rFonts w:ascii="Arial" w:hAnsi="Arial" w:hint="default"/>
      </w:rPr>
    </w:lvl>
    <w:lvl w:ilvl="5" w:tplc="7BEA593C" w:tentative="1">
      <w:start w:val="1"/>
      <w:numFmt w:val="bullet"/>
      <w:lvlText w:val="•"/>
      <w:lvlJc w:val="left"/>
      <w:pPr>
        <w:tabs>
          <w:tab w:val="num" w:pos="4320"/>
        </w:tabs>
        <w:ind w:left="4320" w:hanging="360"/>
      </w:pPr>
      <w:rPr>
        <w:rFonts w:ascii="Arial" w:hAnsi="Arial" w:hint="default"/>
      </w:rPr>
    </w:lvl>
    <w:lvl w:ilvl="6" w:tplc="EA9CF79A" w:tentative="1">
      <w:start w:val="1"/>
      <w:numFmt w:val="bullet"/>
      <w:lvlText w:val="•"/>
      <w:lvlJc w:val="left"/>
      <w:pPr>
        <w:tabs>
          <w:tab w:val="num" w:pos="5040"/>
        </w:tabs>
        <w:ind w:left="5040" w:hanging="360"/>
      </w:pPr>
      <w:rPr>
        <w:rFonts w:ascii="Arial" w:hAnsi="Arial" w:hint="default"/>
      </w:rPr>
    </w:lvl>
    <w:lvl w:ilvl="7" w:tplc="6B2ABB3E" w:tentative="1">
      <w:start w:val="1"/>
      <w:numFmt w:val="bullet"/>
      <w:lvlText w:val="•"/>
      <w:lvlJc w:val="left"/>
      <w:pPr>
        <w:tabs>
          <w:tab w:val="num" w:pos="5760"/>
        </w:tabs>
        <w:ind w:left="5760" w:hanging="360"/>
      </w:pPr>
      <w:rPr>
        <w:rFonts w:ascii="Arial" w:hAnsi="Arial" w:hint="default"/>
      </w:rPr>
    </w:lvl>
    <w:lvl w:ilvl="8" w:tplc="E92010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054C6F"/>
    <w:multiLevelType w:val="hybridMultilevel"/>
    <w:tmpl w:val="F2EAC60E"/>
    <w:lvl w:ilvl="0" w:tplc="B32630CA">
      <w:start w:val="1"/>
      <w:numFmt w:val="bullet"/>
      <w:lvlText w:val="•"/>
      <w:lvlJc w:val="left"/>
      <w:pPr>
        <w:tabs>
          <w:tab w:val="num" w:pos="720"/>
        </w:tabs>
        <w:ind w:left="720" w:hanging="360"/>
      </w:pPr>
      <w:rPr>
        <w:rFonts w:ascii="Arial" w:hAnsi="Arial" w:hint="default"/>
      </w:rPr>
    </w:lvl>
    <w:lvl w:ilvl="1" w:tplc="2AF6A184" w:tentative="1">
      <w:start w:val="1"/>
      <w:numFmt w:val="bullet"/>
      <w:lvlText w:val="•"/>
      <w:lvlJc w:val="left"/>
      <w:pPr>
        <w:tabs>
          <w:tab w:val="num" w:pos="1440"/>
        </w:tabs>
        <w:ind w:left="1440" w:hanging="360"/>
      </w:pPr>
      <w:rPr>
        <w:rFonts w:ascii="Arial" w:hAnsi="Arial" w:hint="default"/>
      </w:rPr>
    </w:lvl>
    <w:lvl w:ilvl="2" w:tplc="E98895D0" w:tentative="1">
      <w:start w:val="1"/>
      <w:numFmt w:val="bullet"/>
      <w:lvlText w:val="•"/>
      <w:lvlJc w:val="left"/>
      <w:pPr>
        <w:tabs>
          <w:tab w:val="num" w:pos="2160"/>
        </w:tabs>
        <w:ind w:left="2160" w:hanging="360"/>
      </w:pPr>
      <w:rPr>
        <w:rFonts w:ascii="Arial" w:hAnsi="Arial" w:hint="default"/>
      </w:rPr>
    </w:lvl>
    <w:lvl w:ilvl="3" w:tplc="E6B4149A" w:tentative="1">
      <w:start w:val="1"/>
      <w:numFmt w:val="bullet"/>
      <w:lvlText w:val="•"/>
      <w:lvlJc w:val="left"/>
      <w:pPr>
        <w:tabs>
          <w:tab w:val="num" w:pos="2880"/>
        </w:tabs>
        <w:ind w:left="2880" w:hanging="360"/>
      </w:pPr>
      <w:rPr>
        <w:rFonts w:ascii="Arial" w:hAnsi="Arial" w:hint="default"/>
      </w:rPr>
    </w:lvl>
    <w:lvl w:ilvl="4" w:tplc="CA20D9CC" w:tentative="1">
      <w:start w:val="1"/>
      <w:numFmt w:val="bullet"/>
      <w:lvlText w:val="•"/>
      <w:lvlJc w:val="left"/>
      <w:pPr>
        <w:tabs>
          <w:tab w:val="num" w:pos="3600"/>
        </w:tabs>
        <w:ind w:left="3600" w:hanging="360"/>
      </w:pPr>
      <w:rPr>
        <w:rFonts w:ascii="Arial" w:hAnsi="Arial" w:hint="default"/>
      </w:rPr>
    </w:lvl>
    <w:lvl w:ilvl="5" w:tplc="EDF8E8BA" w:tentative="1">
      <w:start w:val="1"/>
      <w:numFmt w:val="bullet"/>
      <w:lvlText w:val="•"/>
      <w:lvlJc w:val="left"/>
      <w:pPr>
        <w:tabs>
          <w:tab w:val="num" w:pos="4320"/>
        </w:tabs>
        <w:ind w:left="4320" w:hanging="360"/>
      </w:pPr>
      <w:rPr>
        <w:rFonts w:ascii="Arial" w:hAnsi="Arial" w:hint="default"/>
      </w:rPr>
    </w:lvl>
    <w:lvl w:ilvl="6" w:tplc="BCD60042" w:tentative="1">
      <w:start w:val="1"/>
      <w:numFmt w:val="bullet"/>
      <w:lvlText w:val="•"/>
      <w:lvlJc w:val="left"/>
      <w:pPr>
        <w:tabs>
          <w:tab w:val="num" w:pos="5040"/>
        </w:tabs>
        <w:ind w:left="5040" w:hanging="360"/>
      </w:pPr>
      <w:rPr>
        <w:rFonts w:ascii="Arial" w:hAnsi="Arial" w:hint="default"/>
      </w:rPr>
    </w:lvl>
    <w:lvl w:ilvl="7" w:tplc="46361A50" w:tentative="1">
      <w:start w:val="1"/>
      <w:numFmt w:val="bullet"/>
      <w:lvlText w:val="•"/>
      <w:lvlJc w:val="left"/>
      <w:pPr>
        <w:tabs>
          <w:tab w:val="num" w:pos="5760"/>
        </w:tabs>
        <w:ind w:left="5760" w:hanging="360"/>
      </w:pPr>
      <w:rPr>
        <w:rFonts w:ascii="Arial" w:hAnsi="Arial" w:hint="default"/>
      </w:rPr>
    </w:lvl>
    <w:lvl w:ilvl="8" w:tplc="B574A2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B46884"/>
    <w:multiLevelType w:val="hybridMultilevel"/>
    <w:tmpl w:val="BD8AFA62"/>
    <w:lvl w:ilvl="0" w:tplc="2C1EFCD2">
      <w:start w:val="1"/>
      <w:numFmt w:val="bullet"/>
      <w:lvlText w:val="•"/>
      <w:lvlJc w:val="left"/>
      <w:pPr>
        <w:tabs>
          <w:tab w:val="num" w:pos="720"/>
        </w:tabs>
        <w:ind w:left="720" w:hanging="360"/>
      </w:pPr>
      <w:rPr>
        <w:rFonts w:ascii="Arial" w:hAnsi="Arial" w:hint="default"/>
      </w:rPr>
    </w:lvl>
    <w:lvl w:ilvl="1" w:tplc="C868CAD6">
      <w:start w:val="110"/>
      <w:numFmt w:val="bullet"/>
      <w:lvlText w:val="-"/>
      <w:lvlJc w:val="left"/>
      <w:pPr>
        <w:tabs>
          <w:tab w:val="num" w:pos="1440"/>
        </w:tabs>
        <w:ind w:left="1440" w:hanging="360"/>
      </w:pPr>
      <w:rPr>
        <w:rFonts w:ascii="Times New Roman" w:hAnsi="Times New Roman" w:hint="default"/>
      </w:rPr>
    </w:lvl>
    <w:lvl w:ilvl="2" w:tplc="279E3174" w:tentative="1">
      <w:start w:val="1"/>
      <w:numFmt w:val="bullet"/>
      <w:lvlText w:val="•"/>
      <w:lvlJc w:val="left"/>
      <w:pPr>
        <w:tabs>
          <w:tab w:val="num" w:pos="2160"/>
        </w:tabs>
        <w:ind w:left="2160" w:hanging="360"/>
      </w:pPr>
      <w:rPr>
        <w:rFonts w:ascii="Arial" w:hAnsi="Arial" w:hint="default"/>
      </w:rPr>
    </w:lvl>
    <w:lvl w:ilvl="3" w:tplc="9754FE88" w:tentative="1">
      <w:start w:val="1"/>
      <w:numFmt w:val="bullet"/>
      <w:lvlText w:val="•"/>
      <w:lvlJc w:val="left"/>
      <w:pPr>
        <w:tabs>
          <w:tab w:val="num" w:pos="2880"/>
        </w:tabs>
        <w:ind w:left="2880" w:hanging="360"/>
      </w:pPr>
      <w:rPr>
        <w:rFonts w:ascii="Arial" w:hAnsi="Arial" w:hint="default"/>
      </w:rPr>
    </w:lvl>
    <w:lvl w:ilvl="4" w:tplc="5E229C74" w:tentative="1">
      <w:start w:val="1"/>
      <w:numFmt w:val="bullet"/>
      <w:lvlText w:val="•"/>
      <w:lvlJc w:val="left"/>
      <w:pPr>
        <w:tabs>
          <w:tab w:val="num" w:pos="3600"/>
        </w:tabs>
        <w:ind w:left="3600" w:hanging="360"/>
      </w:pPr>
      <w:rPr>
        <w:rFonts w:ascii="Arial" w:hAnsi="Arial" w:hint="default"/>
      </w:rPr>
    </w:lvl>
    <w:lvl w:ilvl="5" w:tplc="94EC8DAE" w:tentative="1">
      <w:start w:val="1"/>
      <w:numFmt w:val="bullet"/>
      <w:lvlText w:val="•"/>
      <w:lvlJc w:val="left"/>
      <w:pPr>
        <w:tabs>
          <w:tab w:val="num" w:pos="4320"/>
        </w:tabs>
        <w:ind w:left="4320" w:hanging="360"/>
      </w:pPr>
      <w:rPr>
        <w:rFonts w:ascii="Arial" w:hAnsi="Arial" w:hint="default"/>
      </w:rPr>
    </w:lvl>
    <w:lvl w:ilvl="6" w:tplc="B5EE1F86" w:tentative="1">
      <w:start w:val="1"/>
      <w:numFmt w:val="bullet"/>
      <w:lvlText w:val="•"/>
      <w:lvlJc w:val="left"/>
      <w:pPr>
        <w:tabs>
          <w:tab w:val="num" w:pos="5040"/>
        </w:tabs>
        <w:ind w:left="5040" w:hanging="360"/>
      </w:pPr>
      <w:rPr>
        <w:rFonts w:ascii="Arial" w:hAnsi="Arial" w:hint="default"/>
      </w:rPr>
    </w:lvl>
    <w:lvl w:ilvl="7" w:tplc="B462981A" w:tentative="1">
      <w:start w:val="1"/>
      <w:numFmt w:val="bullet"/>
      <w:lvlText w:val="•"/>
      <w:lvlJc w:val="left"/>
      <w:pPr>
        <w:tabs>
          <w:tab w:val="num" w:pos="5760"/>
        </w:tabs>
        <w:ind w:left="5760" w:hanging="360"/>
      </w:pPr>
      <w:rPr>
        <w:rFonts w:ascii="Arial" w:hAnsi="Arial" w:hint="default"/>
      </w:rPr>
    </w:lvl>
    <w:lvl w:ilvl="8" w:tplc="935238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DB47F1"/>
    <w:multiLevelType w:val="hybridMultilevel"/>
    <w:tmpl w:val="3F5C11DE"/>
    <w:styleLink w:val="Stileimportato1"/>
    <w:lvl w:ilvl="0" w:tplc="CBAE9052">
      <w:start w:val="1"/>
      <w:numFmt w:val="bullet"/>
      <w:lvlText w:val="-"/>
      <w:lvlJc w:val="left"/>
      <w:pPr>
        <w:ind w:left="4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F3E2086">
      <w:start w:val="1"/>
      <w:numFmt w:val="bullet"/>
      <w:lvlText w:val="o"/>
      <w:lvlJc w:val="left"/>
      <w:pPr>
        <w:ind w:left="11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8120330">
      <w:start w:val="1"/>
      <w:numFmt w:val="bullet"/>
      <w:lvlText w:val="▪"/>
      <w:lvlJc w:val="left"/>
      <w:pPr>
        <w:ind w:left="1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F22B28">
      <w:start w:val="1"/>
      <w:numFmt w:val="bullet"/>
      <w:lvlText w:val="•"/>
      <w:lvlJc w:val="left"/>
      <w:pPr>
        <w:ind w:left="2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344604">
      <w:start w:val="1"/>
      <w:numFmt w:val="bullet"/>
      <w:lvlText w:val="o"/>
      <w:lvlJc w:val="left"/>
      <w:pPr>
        <w:ind w:left="33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BEF706">
      <w:start w:val="1"/>
      <w:numFmt w:val="bullet"/>
      <w:lvlText w:val="▪"/>
      <w:lvlJc w:val="left"/>
      <w:pPr>
        <w:ind w:left="40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208CB6">
      <w:start w:val="1"/>
      <w:numFmt w:val="bullet"/>
      <w:lvlText w:val="•"/>
      <w:lvlJc w:val="left"/>
      <w:pPr>
        <w:ind w:left="4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4C86A42">
      <w:start w:val="1"/>
      <w:numFmt w:val="bullet"/>
      <w:lvlText w:val="o"/>
      <w:lvlJc w:val="left"/>
      <w:pPr>
        <w:ind w:left="5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3EF3AE">
      <w:start w:val="1"/>
      <w:numFmt w:val="bullet"/>
      <w:lvlText w:val="▪"/>
      <w:lvlJc w:val="left"/>
      <w:pPr>
        <w:ind w:left="61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8658D4"/>
    <w:multiLevelType w:val="hybridMultilevel"/>
    <w:tmpl w:val="F1107868"/>
    <w:lvl w:ilvl="0" w:tplc="C0224AB8">
      <w:start w:val="1"/>
      <w:numFmt w:val="bullet"/>
      <w:lvlText w:val="•"/>
      <w:lvlJc w:val="left"/>
      <w:pPr>
        <w:tabs>
          <w:tab w:val="num" w:pos="720"/>
        </w:tabs>
        <w:ind w:left="720" w:hanging="360"/>
      </w:pPr>
      <w:rPr>
        <w:rFonts w:ascii="Arial" w:hAnsi="Arial" w:hint="default"/>
      </w:rPr>
    </w:lvl>
    <w:lvl w:ilvl="1" w:tplc="CDCED11E" w:tentative="1">
      <w:start w:val="1"/>
      <w:numFmt w:val="bullet"/>
      <w:lvlText w:val="•"/>
      <w:lvlJc w:val="left"/>
      <w:pPr>
        <w:tabs>
          <w:tab w:val="num" w:pos="1440"/>
        </w:tabs>
        <w:ind w:left="1440" w:hanging="360"/>
      </w:pPr>
      <w:rPr>
        <w:rFonts w:ascii="Arial" w:hAnsi="Arial" w:hint="default"/>
      </w:rPr>
    </w:lvl>
    <w:lvl w:ilvl="2" w:tplc="FEDAB28E" w:tentative="1">
      <w:start w:val="1"/>
      <w:numFmt w:val="bullet"/>
      <w:lvlText w:val="•"/>
      <w:lvlJc w:val="left"/>
      <w:pPr>
        <w:tabs>
          <w:tab w:val="num" w:pos="2160"/>
        </w:tabs>
        <w:ind w:left="2160" w:hanging="360"/>
      </w:pPr>
      <w:rPr>
        <w:rFonts w:ascii="Arial" w:hAnsi="Arial" w:hint="default"/>
      </w:rPr>
    </w:lvl>
    <w:lvl w:ilvl="3" w:tplc="898EAF98" w:tentative="1">
      <w:start w:val="1"/>
      <w:numFmt w:val="bullet"/>
      <w:lvlText w:val="•"/>
      <w:lvlJc w:val="left"/>
      <w:pPr>
        <w:tabs>
          <w:tab w:val="num" w:pos="2880"/>
        </w:tabs>
        <w:ind w:left="2880" w:hanging="360"/>
      </w:pPr>
      <w:rPr>
        <w:rFonts w:ascii="Arial" w:hAnsi="Arial" w:hint="default"/>
      </w:rPr>
    </w:lvl>
    <w:lvl w:ilvl="4" w:tplc="0C92785C" w:tentative="1">
      <w:start w:val="1"/>
      <w:numFmt w:val="bullet"/>
      <w:lvlText w:val="•"/>
      <w:lvlJc w:val="left"/>
      <w:pPr>
        <w:tabs>
          <w:tab w:val="num" w:pos="3600"/>
        </w:tabs>
        <w:ind w:left="3600" w:hanging="360"/>
      </w:pPr>
      <w:rPr>
        <w:rFonts w:ascii="Arial" w:hAnsi="Arial" w:hint="default"/>
      </w:rPr>
    </w:lvl>
    <w:lvl w:ilvl="5" w:tplc="E5742AA8" w:tentative="1">
      <w:start w:val="1"/>
      <w:numFmt w:val="bullet"/>
      <w:lvlText w:val="•"/>
      <w:lvlJc w:val="left"/>
      <w:pPr>
        <w:tabs>
          <w:tab w:val="num" w:pos="4320"/>
        </w:tabs>
        <w:ind w:left="4320" w:hanging="360"/>
      </w:pPr>
      <w:rPr>
        <w:rFonts w:ascii="Arial" w:hAnsi="Arial" w:hint="default"/>
      </w:rPr>
    </w:lvl>
    <w:lvl w:ilvl="6" w:tplc="FAE835BC" w:tentative="1">
      <w:start w:val="1"/>
      <w:numFmt w:val="bullet"/>
      <w:lvlText w:val="•"/>
      <w:lvlJc w:val="left"/>
      <w:pPr>
        <w:tabs>
          <w:tab w:val="num" w:pos="5040"/>
        </w:tabs>
        <w:ind w:left="5040" w:hanging="360"/>
      </w:pPr>
      <w:rPr>
        <w:rFonts w:ascii="Arial" w:hAnsi="Arial" w:hint="default"/>
      </w:rPr>
    </w:lvl>
    <w:lvl w:ilvl="7" w:tplc="CCD8112C" w:tentative="1">
      <w:start w:val="1"/>
      <w:numFmt w:val="bullet"/>
      <w:lvlText w:val="•"/>
      <w:lvlJc w:val="left"/>
      <w:pPr>
        <w:tabs>
          <w:tab w:val="num" w:pos="5760"/>
        </w:tabs>
        <w:ind w:left="5760" w:hanging="360"/>
      </w:pPr>
      <w:rPr>
        <w:rFonts w:ascii="Arial" w:hAnsi="Arial" w:hint="default"/>
      </w:rPr>
    </w:lvl>
    <w:lvl w:ilvl="8" w:tplc="241826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745D97"/>
    <w:multiLevelType w:val="hybridMultilevel"/>
    <w:tmpl w:val="54162C90"/>
    <w:lvl w:ilvl="0" w:tplc="E9B2F2A4">
      <w:start w:val="1"/>
      <w:numFmt w:val="bullet"/>
      <w:lvlText w:val="●"/>
      <w:lvlJc w:val="left"/>
      <w:pPr>
        <w:tabs>
          <w:tab w:val="num" w:pos="720"/>
        </w:tabs>
        <w:ind w:left="720" w:hanging="360"/>
      </w:pPr>
      <w:rPr>
        <w:rFonts w:ascii="Calibri" w:hAnsi="Calibri" w:hint="default"/>
      </w:rPr>
    </w:lvl>
    <w:lvl w:ilvl="1" w:tplc="09205618">
      <w:start w:val="1"/>
      <w:numFmt w:val="bullet"/>
      <w:lvlText w:val="●"/>
      <w:lvlJc w:val="left"/>
      <w:pPr>
        <w:tabs>
          <w:tab w:val="num" w:pos="1440"/>
        </w:tabs>
        <w:ind w:left="1440" w:hanging="360"/>
      </w:pPr>
      <w:rPr>
        <w:rFonts w:ascii="Calibri" w:hAnsi="Calibri" w:hint="default"/>
      </w:rPr>
    </w:lvl>
    <w:lvl w:ilvl="2" w:tplc="5DE0F0E0" w:tentative="1">
      <w:start w:val="1"/>
      <w:numFmt w:val="bullet"/>
      <w:lvlText w:val="●"/>
      <w:lvlJc w:val="left"/>
      <w:pPr>
        <w:tabs>
          <w:tab w:val="num" w:pos="2160"/>
        </w:tabs>
        <w:ind w:left="2160" w:hanging="360"/>
      </w:pPr>
      <w:rPr>
        <w:rFonts w:ascii="Calibri" w:hAnsi="Calibri" w:hint="default"/>
      </w:rPr>
    </w:lvl>
    <w:lvl w:ilvl="3" w:tplc="606A1AD4" w:tentative="1">
      <w:start w:val="1"/>
      <w:numFmt w:val="bullet"/>
      <w:lvlText w:val="●"/>
      <w:lvlJc w:val="left"/>
      <w:pPr>
        <w:tabs>
          <w:tab w:val="num" w:pos="2880"/>
        </w:tabs>
        <w:ind w:left="2880" w:hanging="360"/>
      </w:pPr>
      <w:rPr>
        <w:rFonts w:ascii="Calibri" w:hAnsi="Calibri" w:hint="default"/>
      </w:rPr>
    </w:lvl>
    <w:lvl w:ilvl="4" w:tplc="788CEF06" w:tentative="1">
      <w:start w:val="1"/>
      <w:numFmt w:val="bullet"/>
      <w:lvlText w:val="●"/>
      <w:lvlJc w:val="left"/>
      <w:pPr>
        <w:tabs>
          <w:tab w:val="num" w:pos="3600"/>
        </w:tabs>
        <w:ind w:left="3600" w:hanging="360"/>
      </w:pPr>
      <w:rPr>
        <w:rFonts w:ascii="Calibri" w:hAnsi="Calibri" w:hint="default"/>
      </w:rPr>
    </w:lvl>
    <w:lvl w:ilvl="5" w:tplc="4F340CAA" w:tentative="1">
      <w:start w:val="1"/>
      <w:numFmt w:val="bullet"/>
      <w:lvlText w:val="●"/>
      <w:lvlJc w:val="left"/>
      <w:pPr>
        <w:tabs>
          <w:tab w:val="num" w:pos="4320"/>
        </w:tabs>
        <w:ind w:left="4320" w:hanging="360"/>
      </w:pPr>
      <w:rPr>
        <w:rFonts w:ascii="Calibri" w:hAnsi="Calibri" w:hint="default"/>
      </w:rPr>
    </w:lvl>
    <w:lvl w:ilvl="6" w:tplc="1CF08D96" w:tentative="1">
      <w:start w:val="1"/>
      <w:numFmt w:val="bullet"/>
      <w:lvlText w:val="●"/>
      <w:lvlJc w:val="left"/>
      <w:pPr>
        <w:tabs>
          <w:tab w:val="num" w:pos="5040"/>
        </w:tabs>
        <w:ind w:left="5040" w:hanging="360"/>
      </w:pPr>
      <w:rPr>
        <w:rFonts w:ascii="Calibri" w:hAnsi="Calibri" w:hint="default"/>
      </w:rPr>
    </w:lvl>
    <w:lvl w:ilvl="7" w:tplc="5F6620DA" w:tentative="1">
      <w:start w:val="1"/>
      <w:numFmt w:val="bullet"/>
      <w:lvlText w:val="●"/>
      <w:lvlJc w:val="left"/>
      <w:pPr>
        <w:tabs>
          <w:tab w:val="num" w:pos="5760"/>
        </w:tabs>
        <w:ind w:left="5760" w:hanging="360"/>
      </w:pPr>
      <w:rPr>
        <w:rFonts w:ascii="Calibri" w:hAnsi="Calibri" w:hint="default"/>
      </w:rPr>
    </w:lvl>
    <w:lvl w:ilvl="8" w:tplc="A8B833F0"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67D530E0"/>
    <w:multiLevelType w:val="hybridMultilevel"/>
    <w:tmpl w:val="5C0EF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B34A50"/>
    <w:multiLevelType w:val="hybridMultilevel"/>
    <w:tmpl w:val="5DE6B402"/>
    <w:lvl w:ilvl="0" w:tplc="40962866">
      <w:start w:val="1"/>
      <w:numFmt w:val="bullet"/>
      <w:lvlText w:val="•"/>
      <w:lvlJc w:val="left"/>
      <w:pPr>
        <w:tabs>
          <w:tab w:val="num" w:pos="720"/>
        </w:tabs>
        <w:ind w:left="720" w:hanging="360"/>
      </w:pPr>
      <w:rPr>
        <w:rFonts w:ascii="Arial" w:hAnsi="Arial" w:hint="default"/>
      </w:rPr>
    </w:lvl>
    <w:lvl w:ilvl="1" w:tplc="4BFEA46C" w:tentative="1">
      <w:start w:val="1"/>
      <w:numFmt w:val="bullet"/>
      <w:lvlText w:val="•"/>
      <w:lvlJc w:val="left"/>
      <w:pPr>
        <w:tabs>
          <w:tab w:val="num" w:pos="1440"/>
        </w:tabs>
        <w:ind w:left="1440" w:hanging="360"/>
      </w:pPr>
      <w:rPr>
        <w:rFonts w:ascii="Arial" w:hAnsi="Arial" w:hint="default"/>
      </w:rPr>
    </w:lvl>
    <w:lvl w:ilvl="2" w:tplc="663ED628" w:tentative="1">
      <w:start w:val="1"/>
      <w:numFmt w:val="bullet"/>
      <w:lvlText w:val="•"/>
      <w:lvlJc w:val="left"/>
      <w:pPr>
        <w:tabs>
          <w:tab w:val="num" w:pos="2160"/>
        </w:tabs>
        <w:ind w:left="2160" w:hanging="360"/>
      </w:pPr>
      <w:rPr>
        <w:rFonts w:ascii="Arial" w:hAnsi="Arial" w:hint="default"/>
      </w:rPr>
    </w:lvl>
    <w:lvl w:ilvl="3" w:tplc="6F98AD6C" w:tentative="1">
      <w:start w:val="1"/>
      <w:numFmt w:val="bullet"/>
      <w:lvlText w:val="•"/>
      <w:lvlJc w:val="left"/>
      <w:pPr>
        <w:tabs>
          <w:tab w:val="num" w:pos="2880"/>
        </w:tabs>
        <w:ind w:left="2880" w:hanging="360"/>
      </w:pPr>
      <w:rPr>
        <w:rFonts w:ascii="Arial" w:hAnsi="Arial" w:hint="default"/>
      </w:rPr>
    </w:lvl>
    <w:lvl w:ilvl="4" w:tplc="89065416" w:tentative="1">
      <w:start w:val="1"/>
      <w:numFmt w:val="bullet"/>
      <w:lvlText w:val="•"/>
      <w:lvlJc w:val="left"/>
      <w:pPr>
        <w:tabs>
          <w:tab w:val="num" w:pos="3600"/>
        </w:tabs>
        <w:ind w:left="3600" w:hanging="360"/>
      </w:pPr>
      <w:rPr>
        <w:rFonts w:ascii="Arial" w:hAnsi="Arial" w:hint="default"/>
      </w:rPr>
    </w:lvl>
    <w:lvl w:ilvl="5" w:tplc="24040532" w:tentative="1">
      <w:start w:val="1"/>
      <w:numFmt w:val="bullet"/>
      <w:lvlText w:val="•"/>
      <w:lvlJc w:val="left"/>
      <w:pPr>
        <w:tabs>
          <w:tab w:val="num" w:pos="4320"/>
        </w:tabs>
        <w:ind w:left="4320" w:hanging="360"/>
      </w:pPr>
      <w:rPr>
        <w:rFonts w:ascii="Arial" w:hAnsi="Arial" w:hint="default"/>
      </w:rPr>
    </w:lvl>
    <w:lvl w:ilvl="6" w:tplc="CBC2857A" w:tentative="1">
      <w:start w:val="1"/>
      <w:numFmt w:val="bullet"/>
      <w:lvlText w:val="•"/>
      <w:lvlJc w:val="left"/>
      <w:pPr>
        <w:tabs>
          <w:tab w:val="num" w:pos="5040"/>
        </w:tabs>
        <w:ind w:left="5040" w:hanging="360"/>
      </w:pPr>
      <w:rPr>
        <w:rFonts w:ascii="Arial" w:hAnsi="Arial" w:hint="default"/>
      </w:rPr>
    </w:lvl>
    <w:lvl w:ilvl="7" w:tplc="427C2130" w:tentative="1">
      <w:start w:val="1"/>
      <w:numFmt w:val="bullet"/>
      <w:lvlText w:val="•"/>
      <w:lvlJc w:val="left"/>
      <w:pPr>
        <w:tabs>
          <w:tab w:val="num" w:pos="5760"/>
        </w:tabs>
        <w:ind w:left="5760" w:hanging="360"/>
      </w:pPr>
      <w:rPr>
        <w:rFonts w:ascii="Arial" w:hAnsi="Arial" w:hint="default"/>
      </w:rPr>
    </w:lvl>
    <w:lvl w:ilvl="8" w:tplc="A476F3A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0"/>
    <w:lvlOverride w:ilvl="0">
      <w:lvl w:ilvl="0" w:tplc="86201718">
        <w:start w:val="1"/>
        <w:numFmt w:val="bullet"/>
        <w:lvlText w:val="-"/>
        <w:lvlJc w:val="left"/>
        <w:pPr>
          <w:ind w:left="4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1CC0AC">
        <w:start w:val="1"/>
        <w:numFmt w:val="bullet"/>
        <w:lvlText w:val="o"/>
        <w:lvlJc w:val="left"/>
        <w:pPr>
          <w:ind w:left="11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68E7DC">
        <w:start w:val="1"/>
        <w:numFmt w:val="bullet"/>
        <w:lvlText w:val="▪"/>
        <w:lvlJc w:val="left"/>
        <w:pPr>
          <w:ind w:left="1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C41F62">
        <w:start w:val="1"/>
        <w:numFmt w:val="bullet"/>
        <w:lvlText w:val="•"/>
        <w:lvlJc w:val="left"/>
        <w:pPr>
          <w:ind w:left="2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6C7FD6">
        <w:start w:val="1"/>
        <w:numFmt w:val="bullet"/>
        <w:lvlText w:val="o"/>
        <w:lvlJc w:val="left"/>
        <w:pPr>
          <w:ind w:left="33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0C549A">
        <w:start w:val="1"/>
        <w:numFmt w:val="bullet"/>
        <w:lvlText w:val="▪"/>
        <w:lvlJc w:val="left"/>
        <w:pPr>
          <w:ind w:left="40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C6B17C">
        <w:start w:val="1"/>
        <w:numFmt w:val="bullet"/>
        <w:lvlText w:val="•"/>
        <w:lvlJc w:val="left"/>
        <w:pPr>
          <w:ind w:left="4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8676C0">
        <w:start w:val="1"/>
        <w:numFmt w:val="bullet"/>
        <w:lvlText w:val="o"/>
        <w:lvlJc w:val="left"/>
        <w:pPr>
          <w:ind w:left="5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1E9956">
        <w:start w:val="1"/>
        <w:numFmt w:val="bullet"/>
        <w:lvlText w:val="▪"/>
        <w:lvlJc w:val="left"/>
        <w:pPr>
          <w:ind w:left="61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7"/>
  </w:num>
  <w:num w:numId="6">
    <w:abstractNumId w:val="4"/>
  </w:num>
  <w:num w:numId="7">
    <w:abstractNumId w:val="2"/>
  </w:num>
  <w:num w:numId="8">
    <w:abstractNumId w:val="3"/>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A6"/>
    <w:rsid w:val="00021812"/>
    <w:rsid w:val="000445BB"/>
    <w:rsid w:val="0006124A"/>
    <w:rsid w:val="00080DEF"/>
    <w:rsid w:val="00087762"/>
    <w:rsid w:val="0009149A"/>
    <w:rsid w:val="000A152B"/>
    <w:rsid w:val="000A2470"/>
    <w:rsid w:val="000A6F97"/>
    <w:rsid w:val="000A72DC"/>
    <w:rsid w:val="000D0D11"/>
    <w:rsid w:val="000D0DAA"/>
    <w:rsid w:val="000E0176"/>
    <w:rsid w:val="000F26D7"/>
    <w:rsid w:val="00107BA1"/>
    <w:rsid w:val="001223EF"/>
    <w:rsid w:val="00142B79"/>
    <w:rsid w:val="00165659"/>
    <w:rsid w:val="00166232"/>
    <w:rsid w:val="00185384"/>
    <w:rsid w:val="001B3F17"/>
    <w:rsid w:val="001D1827"/>
    <w:rsid w:val="001E2A82"/>
    <w:rsid w:val="001F2CCF"/>
    <w:rsid w:val="002550D3"/>
    <w:rsid w:val="00263443"/>
    <w:rsid w:val="00294401"/>
    <w:rsid w:val="00296C44"/>
    <w:rsid w:val="002C4DD9"/>
    <w:rsid w:val="002D07D7"/>
    <w:rsid w:val="002D2E9E"/>
    <w:rsid w:val="003020FC"/>
    <w:rsid w:val="00302628"/>
    <w:rsid w:val="0031684C"/>
    <w:rsid w:val="0032148B"/>
    <w:rsid w:val="00333DF3"/>
    <w:rsid w:val="003350B7"/>
    <w:rsid w:val="00346076"/>
    <w:rsid w:val="003505E2"/>
    <w:rsid w:val="003515FB"/>
    <w:rsid w:val="00355FA7"/>
    <w:rsid w:val="00361EAD"/>
    <w:rsid w:val="003628E2"/>
    <w:rsid w:val="003707A9"/>
    <w:rsid w:val="003862FD"/>
    <w:rsid w:val="003B5337"/>
    <w:rsid w:val="003B5E26"/>
    <w:rsid w:val="003C0270"/>
    <w:rsid w:val="003C706C"/>
    <w:rsid w:val="003E2CB6"/>
    <w:rsid w:val="00407055"/>
    <w:rsid w:val="004554A3"/>
    <w:rsid w:val="00470175"/>
    <w:rsid w:val="00471094"/>
    <w:rsid w:val="004770E5"/>
    <w:rsid w:val="00494FD0"/>
    <w:rsid w:val="004B1BE6"/>
    <w:rsid w:val="004C2E57"/>
    <w:rsid w:val="004E7056"/>
    <w:rsid w:val="004F7F48"/>
    <w:rsid w:val="00523B65"/>
    <w:rsid w:val="00523F60"/>
    <w:rsid w:val="00590627"/>
    <w:rsid w:val="005A47BC"/>
    <w:rsid w:val="005A4EBC"/>
    <w:rsid w:val="005B67D9"/>
    <w:rsid w:val="005C4763"/>
    <w:rsid w:val="005C5E4D"/>
    <w:rsid w:val="005E1526"/>
    <w:rsid w:val="005F2456"/>
    <w:rsid w:val="00614AC4"/>
    <w:rsid w:val="0063675B"/>
    <w:rsid w:val="006470AA"/>
    <w:rsid w:val="0065621F"/>
    <w:rsid w:val="00656C8F"/>
    <w:rsid w:val="006677CA"/>
    <w:rsid w:val="00680EB6"/>
    <w:rsid w:val="00683686"/>
    <w:rsid w:val="006A5EDA"/>
    <w:rsid w:val="006D67EE"/>
    <w:rsid w:val="006E1731"/>
    <w:rsid w:val="006F7950"/>
    <w:rsid w:val="00701137"/>
    <w:rsid w:val="0072741C"/>
    <w:rsid w:val="00735132"/>
    <w:rsid w:val="00742565"/>
    <w:rsid w:val="00750182"/>
    <w:rsid w:val="0076490F"/>
    <w:rsid w:val="007949D3"/>
    <w:rsid w:val="007B7D61"/>
    <w:rsid w:val="007C3EA0"/>
    <w:rsid w:val="007D22A2"/>
    <w:rsid w:val="007E3C92"/>
    <w:rsid w:val="007E3E34"/>
    <w:rsid w:val="007F31AA"/>
    <w:rsid w:val="008000FB"/>
    <w:rsid w:val="00816312"/>
    <w:rsid w:val="00851641"/>
    <w:rsid w:val="008564DB"/>
    <w:rsid w:val="0088221E"/>
    <w:rsid w:val="008F7967"/>
    <w:rsid w:val="0091078F"/>
    <w:rsid w:val="00910C52"/>
    <w:rsid w:val="00913598"/>
    <w:rsid w:val="009322E2"/>
    <w:rsid w:val="00936C60"/>
    <w:rsid w:val="00970830"/>
    <w:rsid w:val="0099635E"/>
    <w:rsid w:val="009A0F9E"/>
    <w:rsid w:val="009A43B6"/>
    <w:rsid w:val="009B570B"/>
    <w:rsid w:val="009F192C"/>
    <w:rsid w:val="009F509D"/>
    <w:rsid w:val="009F555D"/>
    <w:rsid w:val="00A00D08"/>
    <w:rsid w:val="00A151AB"/>
    <w:rsid w:val="00A3678C"/>
    <w:rsid w:val="00A42E25"/>
    <w:rsid w:val="00A44E21"/>
    <w:rsid w:val="00A76F70"/>
    <w:rsid w:val="00A94FA6"/>
    <w:rsid w:val="00AA1564"/>
    <w:rsid w:val="00AA4C0D"/>
    <w:rsid w:val="00AB44B4"/>
    <w:rsid w:val="00AD5AF4"/>
    <w:rsid w:val="00AF42FD"/>
    <w:rsid w:val="00B009D5"/>
    <w:rsid w:val="00B14155"/>
    <w:rsid w:val="00B3268E"/>
    <w:rsid w:val="00B66699"/>
    <w:rsid w:val="00B67AD7"/>
    <w:rsid w:val="00B8139F"/>
    <w:rsid w:val="00BB21F5"/>
    <w:rsid w:val="00BD046D"/>
    <w:rsid w:val="00BD1A41"/>
    <w:rsid w:val="00BD2994"/>
    <w:rsid w:val="00BD4175"/>
    <w:rsid w:val="00BE6C36"/>
    <w:rsid w:val="00C26AE2"/>
    <w:rsid w:val="00C27099"/>
    <w:rsid w:val="00C5714D"/>
    <w:rsid w:val="00C6200D"/>
    <w:rsid w:val="00C818CB"/>
    <w:rsid w:val="00C82204"/>
    <w:rsid w:val="00C87859"/>
    <w:rsid w:val="00CC6246"/>
    <w:rsid w:val="00CD1108"/>
    <w:rsid w:val="00CD2EE0"/>
    <w:rsid w:val="00CE17C0"/>
    <w:rsid w:val="00CE36AC"/>
    <w:rsid w:val="00CE76A6"/>
    <w:rsid w:val="00CF4DD7"/>
    <w:rsid w:val="00D02BAB"/>
    <w:rsid w:val="00D16886"/>
    <w:rsid w:val="00D17BC9"/>
    <w:rsid w:val="00D213A5"/>
    <w:rsid w:val="00D559A6"/>
    <w:rsid w:val="00D65324"/>
    <w:rsid w:val="00DB7387"/>
    <w:rsid w:val="00DC27D1"/>
    <w:rsid w:val="00DE2574"/>
    <w:rsid w:val="00DE3407"/>
    <w:rsid w:val="00DF56FB"/>
    <w:rsid w:val="00E102A6"/>
    <w:rsid w:val="00E31A74"/>
    <w:rsid w:val="00E46DB0"/>
    <w:rsid w:val="00E572A7"/>
    <w:rsid w:val="00E80B0B"/>
    <w:rsid w:val="00E835AA"/>
    <w:rsid w:val="00E859AD"/>
    <w:rsid w:val="00E86B4A"/>
    <w:rsid w:val="00E8732D"/>
    <w:rsid w:val="00E92F0A"/>
    <w:rsid w:val="00EA2F70"/>
    <w:rsid w:val="00ED6B2E"/>
    <w:rsid w:val="00F55744"/>
    <w:rsid w:val="00F71697"/>
    <w:rsid w:val="00FA0767"/>
    <w:rsid w:val="00FA3805"/>
    <w:rsid w:val="00FA4C61"/>
    <w:rsid w:val="00FD4DF3"/>
    <w:rsid w:val="00FE6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BA7F"/>
  <w15:docId w15:val="{0228FA21-6207-4939-8D23-ECC4B6FE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line="220" w:lineRule="exact"/>
    </w:pPr>
    <w:rPr>
      <w:rFonts w:ascii="Arial" w:hAnsi="Arial" w:cs="Arial Unicode MS"/>
      <w:color w:val="000000"/>
      <w:u w:color="00000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rial" w:hAnsi="Arial" w:cs="Arial Unicode MS"/>
      <w:color w:val="000000"/>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rPr>
      <w:lang w:val="it-IT"/>
    </w:rPr>
  </w:style>
  <w:style w:type="paragraph" w:styleId="Paragrafoelenco">
    <w:name w:val="List Paragraph"/>
    <w:pPr>
      <w:spacing w:line="220" w:lineRule="exact"/>
      <w:ind w:left="720"/>
    </w:pPr>
    <w:rPr>
      <w:rFonts w:ascii="Arial" w:hAnsi="Arial" w:cs="Arial Unicode MS"/>
      <w:color w:val="000000"/>
      <w:u w:color="000000"/>
    </w:rPr>
  </w:style>
  <w:style w:type="numbering" w:customStyle="1" w:styleId="Stileimportato1">
    <w:name w:val="Stile importato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563C1"/>
      <w:spacing w:val="-1"/>
      <w:sz w:val="22"/>
      <w:szCs w:val="22"/>
      <w:u w:val="single" w:color="0563C1"/>
    </w:rPr>
  </w:style>
  <w:style w:type="paragraph" w:styleId="Testofumetto">
    <w:name w:val="Balloon Text"/>
    <w:basedOn w:val="Normale"/>
    <w:link w:val="TestofumettoCarattere"/>
    <w:uiPriority w:val="99"/>
    <w:semiHidden/>
    <w:unhideWhenUsed/>
    <w:rsid w:val="001F2CC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2CCF"/>
    <w:rPr>
      <w:rFonts w:ascii="Segoe UI" w:hAnsi="Segoe UI" w:cs="Segoe UI"/>
      <w:color w:val="000000"/>
      <w:sz w:val="18"/>
      <w:szCs w:val="18"/>
      <w:u w:color="000000"/>
    </w:rPr>
  </w:style>
  <w:style w:type="paragraph" w:styleId="Testonotaapidipagina">
    <w:name w:val="footnote text"/>
    <w:basedOn w:val="Normale"/>
    <w:link w:val="TestonotaapidipaginaCarattere"/>
    <w:uiPriority w:val="99"/>
    <w:unhideWhenUsed/>
    <w:rsid w:val="00B009D5"/>
    <w:pPr>
      <w:spacing w:line="240" w:lineRule="auto"/>
    </w:pPr>
  </w:style>
  <w:style w:type="character" w:customStyle="1" w:styleId="TestonotaapidipaginaCarattere">
    <w:name w:val="Testo nota a piè di pagina Carattere"/>
    <w:basedOn w:val="Carpredefinitoparagrafo"/>
    <w:link w:val="Testonotaapidipagina"/>
    <w:uiPriority w:val="99"/>
    <w:rsid w:val="00B009D5"/>
    <w:rPr>
      <w:rFonts w:ascii="Arial" w:hAnsi="Arial" w:cs="Arial Unicode MS"/>
      <w:color w:val="000000"/>
      <w:u w:color="000000"/>
    </w:rPr>
  </w:style>
  <w:style w:type="character" w:styleId="Rimandonotaapidipagina">
    <w:name w:val="footnote reference"/>
    <w:basedOn w:val="Carpredefinitoparagrafo"/>
    <w:uiPriority w:val="99"/>
    <w:semiHidden/>
    <w:unhideWhenUsed/>
    <w:rsid w:val="00B00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856">
      <w:bodyDiv w:val="1"/>
      <w:marLeft w:val="0"/>
      <w:marRight w:val="0"/>
      <w:marTop w:val="0"/>
      <w:marBottom w:val="0"/>
      <w:divBdr>
        <w:top w:val="none" w:sz="0" w:space="0" w:color="auto"/>
        <w:left w:val="none" w:sz="0" w:space="0" w:color="auto"/>
        <w:bottom w:val="none" w:sz="0" w:space="0" w:color="auto"/>
        <w:right w:val="none" w:sz="0" w:space="0" w:color="auto"/>
      </w:divBdr>
    </w:div>
    <w:div w:id="172769914">
      <w:bodyDiv w:val="1"/>
      <w:marLeft w:val="0"/>
      <w:marRight w:val="0"/>
      <w:marTop w:val="0"/>
      <w:marBottom w:val="0"/>
      <w:divBdr>
        <w:top w:val="none" w:sz="0" w:space="0" w:color="auto"/>
        <w:left w:val="none" w:sz="0" w:space="0" w:color="auto"/>
        <w:bottom w:val="none" w:sz="0" w:space="0" w:color="auto"/>
        <w:right w:val="none" w:sz="0" w:space="0" w:color="auto"/>
      </w:divBdr>
      <w:divsChild>
        <w:div w:id="68121419">
          <w:marLeft w:val="1123"/>
          <w:marRight w:val="0"/>
          <w:marTop w:val="0"/>
          <w:marBottom w:val="0"/>
          <w:divBdr>
            <w:top w:val="none" w:sz="0" w:space="0" w:color="auto"/>
            <w:left w:val="none" w:sz="0" w:space="0" w:color="auto"/>
            <w:bottom w:val="none" w:sz="0" w:space="0" w:color="auto"/>
            <w:right w:val="none" w:sz="0" w:space="0" w:color="auto"/>
          </w:divBdr>
        </w:div>
        <w:div w:id="930771058">
          <w:marLeft w:val="1123"/>
          <w:marRight w:val="0"/>
          <w:marTop w:val="0"/>
          <w:marBottom w:val="0"/>
          <w:divBdr>
            <w:top w:val="none" w:sz="0" w:space="0" w:color="auto"/>
            <w:left w:val="none" w:sz="0" w:space="0" w:color="auto"/>
            <w:bottom w:val="none" w:sz="0" w:space="0" w:color="auto"/>
            <w:right w:val="none" w:sz="0" w:space="0" w:color="auto"/>
          </w:divBdr>
        </w:div>
        <w:div w:id="1684044545">
          <w:marLeft w:val="1123"/>
          <w:marRight w:val="0"/>
          <w:marTop w:val="0"/>
          <w:marBottom w:val="0"/>
          <w:divBdr>
            <w:top w:val="none" w:sz="0" w:space="0" w:color="auto"/>
            <w:left w:val="none" w:sz="0" w:space="0" w:color="auto"/>
            <w:bottom w:val="none" w:sz="0" w:space="0" w:color="auto"/>
            <w:right w:val="none" w:sz="0" w:space="0" w:color="auto"/>
          </w:divBdr>
        </w:div>
      </w:divsChild>
    </w:div>
    <w:div w:id="616372967">
      <w:bodyDiv w:val="1"/>
      <w:marLeft w:val="0"/>
      <w:marRight w:val="0"/>
      <w:marTop w:val="0"/>
      <w:marBottom w:val="0"/>
      <w:divBdr>
        <w:top w:val="none" w:sz="0" w:space="0" w:color="auto"/>
        <w:left w:val="none" w:sz="0" w:space="0" w:color="auto"/>
        <w:bottom w:val="none" w:sz="0" w:space="0" w:color="auto"/>
        <w:right w:val="none" w:sz="0" w:space="0" w:color="auto"/>
      </w:divBdr>
    </w:div>
    <w:div w:id="669527017">
      <w:bodyDiv w:val="1"/>
      <w:marLeft w:val="0"/>
      <w:marRight w:val="0"/>
      <w:marTop w:val="0"/>
      <w:marBottom w:val="0"/>
      <w:divBdr>
        <w:top w:val="none" w:sz="0" w:space="0" w:color="auto"/>
        <w:left w:val="none" w:sz="0" w:space="0" w:color="auto"/>
        <w:bottom w:val="none" w:sz="0" w:space="0" w:color="auto"/>
        <w:right w:val="none" w:sz="0" w:space="0" w:color="auto"/>
      </w:divBdr>
    </w:div>
    <w:div w:id="1233808429">
      <w:bodyDiv w:val="1"/>
      <w:marLeft w:val="0"/>
      <w:marRight w:val="0"/>
      <w:marTop w:val="0"/>
      <w:marBottom w:val="0"/>
      <w:divBdr>
        <w:top w:val="none" w:sz="0" w:space="0" w:color="auto"/>
        <w:left w:val="none" w:sz="0" w:space="0" w:color="auto"/>
        <w:bottom w:val="none" w:sz="0" w:space="0" w:color="auto"/>
        <w:right w:val="none" w:sz="0" w:space="0" w:color="auto"/>
      </w:divBdr>
    </w:div>
    <w:div w:id="1390108047">
      <w:bodyDiv w:val="1"/>
      <w:marLeft w:val="0"/>
      <w:marRight w:val="0"/>
      <w:marTop w:val="0"/>
      <w:marBottom w:val="0"/>
      <w:divBdr>
        <w:top w:val="none" w:sz="0" w:space="0" w:color="auto"/>
        <w:left w:val="none" w:sz="0" w:space="0" w:color="auto"/>
        <w:bottom w:val="none" w:sz="0" w:space="0" w:color="auto"/>
        <w:right w:val="none" w:sz="0" w:space="0" w:color="auto"/>
      </w:divBdr>
      <w:divsChild>
        <w:div w:id="64688646">
          <w:marLeft w:val="446"/>
          <w:marRight w:val="0"/>
          <w:marTop w:val="0"/>
          <w:marBottom w:val="0"/>
          <w:divBdr>
            <w:top w:val="none" w:sz="0" w:space="0" w:color="auto"/>
            <w:left w:val="none" w:sz="0" w:space="0" w:color="auto"/>
            <w:bottom w:val="none" w:sz="0" w:space="0" w:color="auto"/>
            <w:right w:val="none" w:sz="0" w:space="0" w:color="auto"/>
          </w:divBdr>
        </w:div>
        <w:div w:id="183134325">
          <w:marLeft w:val="994"/>
          <w:marRight w:val="0"/>
          <w:marTop w:val="100"/>
          <w:marBottom w:val="0"/>
          <w:divBdr>
            <w:top w:val="none" w:sz="0" w:space="0" w:color="auto"/>
            <w:left w:val="none" w:sz="0" w:space="0" w:color="auto"/>
            <w:bottom w:val="none" w:sz="0" w:space="0" w:color="auto"/>
            <w:right w:val="none" w:sz="0" w:space="0" w:color="auto"/>
          </w:divBdr>
        </w:div>
        <w:div w:id="741412741">
          <w:marLeft w:val="446"/>
          <w:marRight w:val="0"/>
          <w:marTop w:val="0"/>
          <w:marBottom w:val="0"/>
          <w:divBdr>
            <w:top w:val="none" w:sz="0" w:space="0" w:color="auto"/>
            <w:left w:val="none" w:sz="0" w:space="0" w:color="auto"/>
            <w:bottom w:val="none" w:sz="0" w:space="0" w:color="auto"/>
            <w:right w:val="none" w:sz="0" w:space="0" w:color="auto"/>
          </w:divBdr>
        </w:div>
        <w:div w:id="1252663882">
          <w:marLeft w:val="446"/>
          <w:marRight w:val="0"/>
          <w:marTop w:val="0"/>
          <w:marBottom w:val="0"/>
          <w:divBdr>
            <w:top w:val="none" w:sz="0" w:space="0" w:color="auto"/>
            <w:left w:val="none" w:sz="0" w:space="0" w:color="auto"/>
            <w:bottom w:val="none" w:sz="0" w:space="0" w:color="auto"/>
            <w:right w:val="none" w:sz="0" w:space="0" w:color="auto"/>
          </w:divBdr>
        </w:div>
        <w:div w:id="1351643822">
          <w:marLeft w:val="446"/>
          <w:marRight w:val="0"/>
          <w:marTop w:val="0"/>
          <w:marBottom w:val="0"/>
          <w:divBdr>
            <w:top w:val="none" w:sz="0" w:space="0" w:color="auto"/>
            <w:left w:val="none" w:sz="0" w:space="0" w:color="auto"/>
            <w:bottom w:val="none" w:sz="0" w:space="0" w:color="auto"/>
            <w:right w:val="none" w:sz="0" w:space="0" w:color="auto"/>
          </w:divBdr>
        </w:div>
        <w:div w:id="1752047218">
          <w:marLeft w:val="446"/>
          <w:marRight w:val="0"/>
          <w:marTop w:val="0"/>
          <w:marBottom w:val="0"/>
          <w:divBdr>
            <w:top w:val="none" w:sz="0" w:space="0" w:color="auto"/>
            <w:left w:val="none" w:sz="0" w:space="0" w:color="auto"/>
            <w:bottom w:val="none" w:sz="0" w:space="0" w:color="auto"/>
            <w:right w:val="none" w:sz="0" w:space="0" w:color="auto"/>
          </w:divBdr>
        </w:div>
        <w:div w:id="1763721799">
          <w:marLeft w:val="994"/>
          <w:marRight w:val="0"/>
          <w:marTop w:val="100"/>
          <w:marBottom w:val="0"/>
          <w:divBdr>
            <w:top w:val="none" w:sz="0" w:space="0" w:color="auto"/>
            <w:left w:val="none" w:sz="0" w:space="0" w:color="auto"/>
            <w:bottom w:val="none" w:sz="0" w:space="0" w:color="auto"/>
            <w:right w:val="none" w:sz="0" w:space="0" w:color="auto"/>
          </w:divBdr>
        </w:div>
        <w:div w:id="1941719247">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e.desanctis@nex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5567-DED8-47FC-A7C4-7F2B1322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Abbondanza Matteo</dc:creator>
  <cp:keywords/>
  <dc:description/>
  <cp:lastModifiedBy>asabur raja</cp:lastModifiedBy>
  <cp:revision>12</cp:revision>
  <cp:lastPrinted>2018-04-27T15:59:00Z</cp:lastPrinted>
  <dcterms:created xsi:type="dcterms:W3CDTF">2018-04-29T11:58:00Z</dcterms:created>
  <dcterms:modified xsi:type="dcterms:W3CDTF">2018-04-29T15:55:00Z</dcterms:modified>
</cp:coreProperties>
</file>