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3" w:rsidRDefault="00467D4B">
      <w:pPr>
        <w:spacing w:line="260" w:lineRule="exact"/>
        <w:jc w:val="center"/>
        <w:rPr>
          <w:rStyle w:val="Nessuno"/>
          <w:color w:val="75787B"/>
          <w:sz w:val="22"/>
          <w:szCs w:val="22"/>
          <w:u w:color="75787B"/>
        </w:rPr>
      </w:pPr>
      <w:r>
        <w:rPr>
          <w:rStyle w:val="Nessuno"/>
          <w:color w:val="75787B"/>
          <w:sz w:val="22"/>
          <w:szCs w:val="22"/>
          <w:u w:val="single" w:color="75787B"/>
        </w:rPr>
        <w:t>Comunicato Stampa</w:t>
      </w:r>
      <w:r>
        <w:rPr>
          <w:rStyle w:val="Nessuno"/>
          <w:rFonts w:ascii="Arial Unicode MS" w:hAnsi="Arial Unicode MS"/>
          <w:color w:val="75787B"/>
          <w:sz w:val="22"/>
          <w:szCs w:val="22"/>
          <w:u w:val="single" w:color="75787B"/>
        </w:rPr>
        <w:br/>
      </w:r>
    </w:p>
    <w:p w:rsidR="00575843" w:rsidRDefault="00575843">
      <w:pPr>
        <w:spacing w:line="260" w:lineRule="exact"/>
        <w:jc w:val="center"/>
        <w:rPr>
          <w:rStyle w:val="Nessuno"/>
          <w:b/>
          <w:bCs/>
          <w:color w:val="75787B"/>
          <w:sz w:val="23"/>
          <w:szCs w:val="23"/>
          <w:u w:color="75787B"/>
        </w:rPr>
      </w:pPr>
    </w:p>
    <w:p w:rsidR="00575843" w:rsidRDefault="00467D4B">
      <w:pPr>
        <w:spacing w:line="260" w:lineRule="exact"/>
        <w:jc w:val="center"/>
        <w:rPr>
          <w:rStyle w:val="Nessuno"/>
          <w:b/>
          <w:bCs/>
          <w:color w:val="75787B"/>
          <w:sz w:val="23"/>
          <w:szCs w:val="23"/>
          <w:u w:color="75787B"/>
        </w:rPr>
      </w:pPr>
      <w:proofErr w:type="spellStart"/>
      <w:r>
        <w:rPr>
          <w:rStyle w:val="Nessuno"/>
          <w:b/>
          <w:bCs/>
          <w:color w:val="75787B"/>
          <w:sz w:val="23"/>
          <w:szCs w:val="23"/>
          <w:u w:color="75787B"/>
        </w:rPr>
        <w:t>Nexi</w:t>
      </w:r>
      <w:proofErr w:type="spellEnd"/>
      <w:r>
        <w:rPr>
          <w:rStyle w:val="Nessuno"/>
          <w:b/>
          <w:bCs/>
          <w:color w:val="75787B"/>
          <w:sz w:val="23"/>
          <w:szCs w:val="23"/>
          <w:u w:color="75787B"/>
        </w:rPr>
        <w:t xml:space="preserve"> acquisisce </w:t>
      </w:r>
      <w:proofErr w:type="spellStart"/>
      <w:r>
        <w:rPr>
          <w:rStyle w:val="Nessuno"/>
          <w:b/>
          <w:bCs/>
          <w:color w:val="75787B"/>
          <w:sz w:val="23"/>
          <w:szCs w:val="23"/>
          <w:u w:color="75787B"/>
        </w:rPr>
        <w:t>Sparkling</w:t>
      </w:r>
      <w:proofErr w:type="spellEnd"/>
      <w:r>
        <w:rPr>
          <w:rStyle w:val="Nessuno"/>
          <w:b/>
          <w:bCs/>
          <w:color w:val="75787B"/>
          <w:sz w:val="23"/>
          <w:szCs w:val="23"/>
          <w:u w:color="75787B"/>
        </w:rPr>
        <w:t xml:space="preserve"> 18,</w:t>
      </w:r>
    </w:p>
    <w:p w:rsidR="00575843" w:rsidRDefault="00467D4B">
      <w:pPr>
        <w:spacing w:line="260" w:lineRule="exact"/>
        <w:jc w:val="center"/>
        <w:rPr>
          <w:rStyle w:val="Nessuno"/>
          <w:b/>
          <w:bCs/>
          <w:color w:val="75787B"/>
          <w:sz w:val="23"/>
          <w:szCs w:val="23"/>
          <w:u w:color="75787B"/>
        </w:rPr>
      </w:pPr>
      <w:r>
        <w:rPr>
          <w:rStyle w:val="Nessuno"/>
          <w:b/>
          <w:bCs/>
          <w:color w:val="75787B"/>
          <w:sz w:val="23"/>
          <w:szCs w:val="23"/>
          <w:u w:color="75787B"/>
        </w:rPr>
        <w:t xml:space="preserve">Una delle realtà più innovative nei New Digital </w:t>
      </w:r>
      <w:proofErr w:type="spellStart"/>
      <w:r>
        <w:rPr>
          <w:rStyle w:val="Nessuno"/>
          <w:b/>
          <w:bCs/>
          <w:color w:val="75787B"/>
          <w:sz w:val="23"/>
          <w:szCs w:val="23"/>
          <w:u w:color="75787B"/>
        </w:rPr>
        <w:t>Payments</w:t>
      </w:r>
      <w:proofErr w:type="spellEnd"/>
    </w:p>
    <w:p w:rsidR="00575843" w:rsidRDefault="00575843">
      <w:pPr>
        <w:spacing w:line="260" w:lineRule="exact"/>
        <w:jc w:val="center"/>
        <w:rPr>
          <w:rStyle w:val="Nessuno"/>
          <w:b/>
          <w:bCs/>
          <w:color w:val="75787B"/>
          <w:sz w:val="23"/>
          <w:szCs w:val="23"/>
          <w:u w:color="75787B"/>
        </w:rPr>
      </w:pPr>
    </w:p>
    <w:p w:rsidR="00E12C71" w:rsidRPr="008839B9" w:rsidRDefault="00E12C71" w:rsidP="00E12C71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L’operazione permette a </w:t>
      </w:r>
      <w:proofErr w:type="spellStart"/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>Nexi</w:t>
      </w:r>
      <w:proofErr w:type="spellEnd"/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di accelerare </w:t>
      </w:r>
      <w:r w:rsidR="00A95603">
        <w:rPr>
          <w:rStyle w:val="Nessuno"/>
          <w:i/>
          <w:color w:val="75787B"/>
          <w:spacing w:val="-1"/>
          <w:sz w:val="23"/>
          <w:szCs w:val="23"/>
          <w:u w:color="75787B"/>
        </w:rPr>
        <w:t>il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piano 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br/>
        <w:t xml:space="preserve">per lo </w:t>
      </w:r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sviluppo di 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nuove </w:t>
      </w:r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soluzioni di pagamento via </w:t>
      </w:r>
      <w:proofErr w:type="spellStart"/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>smar</w:t>
      </w:r>
      <w:r w:rsidR="00314DFC">
        <w:rPr>
          <w:rStyle w:val="Nessuno"/>
          <w:i/>
          <w:color w:val="75787B"/>
          <w:spacing w:val="-1"/>
          <w:sz w:val="23"/>
          <w:szCs w:val="23"/>
          <w:u w:color="75787B"/>
        </w:rPr>
        <w:t>t</w:t>
      </w:r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>phone</w:t>
      </w:r>
      <w:proofErr w:type="spellEnd"/>
    </w:p>
    <w:p w:rsidR="00E12C71" w:rsidRPr="008839B9" w:rsidRDefault="00E12C71" w:rsidP="00E12C71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</w:p>
    <w:p w:rsidR="00E12C71" w:rsidRPr="008839B9" w:rsidRDefault="00E12C71" w:rsidP="00E12C71">
      <w:pPr>
        <w:spacing w:line="260" w:lineRule="exact"/>
        <w:jc w:val="center"/>
        <w:rPr>
          <w:rStyle w:val="Nessuno"/>
          <w:i/>
          <w:color w:val="75787B"/>
          <w:spacing w:val="-1"/>
          <w:sz w:val="23"/>
          <w:szCs w:val="23"/>
          <w:u w:color="75787B"/>
        </w:rPr>
      </w:pPr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La </w:t>
      </w:r>
      <w:proofErr w:type="spellStart"/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>PayTech</w:t>
      </w:r>
      <w:proofErr w:type="spellEnd"/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>amplia</w:t>
      </w:r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la propria offerta di </w:t>
      </w:r>
      <w:r>
        <w:rPr>
          <w:rStyle w:val="Nessuno"/>
          <w:i/>
          <w:color w:val="75787B"/>
          <w:spacing w:val="-1"/>
          <w:sz w:val="23"/>
          <w:szCs w:val="23"/>
          <w:u w:color="75787B"/>
        </w:rPr>
        <w:t>servizi d’acquisto</w:t>
      </w:r>
      <w:r w:rsidR="004D6754">
        <w:rPr>
          <w:rStyle w:val="Nessuno"/>
          <w:i/>
          <w:color w:val="75787B"/>
          <w:spacing w:val="-1"/>
          <w:sz w:val="23"/>
          <w:szCs w:val="23"/>
          <w:u w:color="75787B"/>
        </w:rPr>
        <w:t xml:space="preserve"> </w:t>
      </w:r>
      <w:proofErr w:type="spellStart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>omni</w:t>
      </w:r>
      <w:proofErr w:type="spellEnd"/>
      <w:r>
        <w:rPr>
          <w:rStyle w:val="Nessuno"/>
          <w:i/>
          <w:color w:val="75787B"/>
          <w:spacing w:val="-1"/>
          <w:sz w:val="23"/>
          <w:szCs w:val="23"/>
          <w:u w:color="75787B"/>
        </w:rPr>
        <w:t>-</w:t>
      </w:r>
      <w:r w:rsidRPr="008839B9">
        <w:rPr>
          <w:rStyle w:val="Nessuno"/>
          <w:i/>
          <w:color w:val="75787B"/>
          <w:spacing w:val="-1"/>
          <w:sz w:val="23"/>
          <w:szCs w:val="23"/>
          <w:u w:color="75787B"/>
        </w:rPr>
        <w:t>canale</w:t>
      </w:r>
    </w:p>
    <w:p w:rsidR="00E12C71" w:rsidRDefault="00E12C71">
      <w:pPr>
        <w:spacing w:line="260" w:lineRule="exact"/>
        <w:jc w:val="center"/>
        <w:rPr>
          <w:rStyle w:val="Nessuno"/>
          <w:i/>
          <w:iCs/>
          <w:color w:val="75787B"/>
          <w:sz w:val="23"/>
          <w:szCs w:val="23"/>
          <w:u w:color="75787B"/>
        </w:rPr>
      </w:pPr>
    </w:p>
    <w:p w:rsidR="00575843" w:rsidRDefault="00575843">
      <w:pPr>
        <w:spacing w:line="260" w:lineRule="exact"/>
        <w:jc w:val="center"/>
        <w:rPr>
          <w:rStyle w:val="Nessuno"/>
          <w:b/>
          <w:bCs/>
          <w:color w:val="75787B"/>
          <w:sz w:val="23"/>
          <w:szCs w:val="23"/>
          <w:u w:color="75787B"/>
        </w:rPr>
      </w:pPr>
    </w:p>
    <w:p w:rsidR="00575843" w:rsidRDefault="00467D4B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  <w:r>
        <w:rPr>
          <w:rStyle w:val="Nessuno"/>
          <w:b/>
          <w:bCs/>
          <w:color w:val="75787B"/>
          <w:sz w:val="22"/>
          <w:szCs w:val="22"/>
          <w:u w:color="75787B"/>
        </w:rPr>
        <w:t>Milano, 11 aprile 2018</w:t>
      </w:r>
      <w:r>
        <w:rPr>
          <w:rStyle w:val="Nessuno"/>
          <w:color w:val="75787B"/>
          <w:sz w:val="22"/>
          <w:szCs w:val="22"/>
          <w:u w:color="75787B"/>
        </w:rPr>
        <w:t xml:space="preserve"> –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ha finalizzato l’acquisizione di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Sparkling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18,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FinTech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italiana che dal 2013 opera nel settore dei new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digital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payments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>, una dell</w:t>
      </w:r>
      <w:r w:rsidR="00314DFC">
        <w:rPr>
          <w:rStyle w:val="Nessuno"/>
          <w:color w:val="75787B"/>
          <w:sz w:val="22"/>
          <w:szCs w:val="22"/>
          <w:u w:color="75787B"/>
        </w:rPr>
        <w:t>e 7 aziende al mondo che Masterc</w:t>
      </w:r>
      <w:bookmarkStart w:id="0" w:name="_GoBack"/>
      <w:bookmarkEnd w:id="0"/>
      <w:r>
        <w:rPr>
          <w:rStyle w:val="Nessuno"/>
          <w:color w:val="75787B"/>
          <w:sz w:val="22"/>
          <w:szCs w:val="22"/>
          <w:u w:color="75787B"/>
        </w:rPr>
        <w:t xml:space="preserve">ard ha annoverato tra i propri Platinum Digital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Vendor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>.</w:t>
      </w:r>
    </w:p>
    <w:p w:rsidR="00575843" w:rsidRDefault="00575843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E12C71" w:rsidRDefault="00E12C71" w:rsidP="00E12C71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L’operazione, che per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rappresenta la prima acquisizione di una Start Up, consentirà alla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PayTech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 accelerare la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roadmap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 sviluppo di soluzioni di pagamento via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smartphone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, essendo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Sparkling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18 specializzata nell’offerta di sistemi di pagamento mobile e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omnicanale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: </w:t>
      </w:r>
      <w:r>
        <w:rPr>
          <w:rStyle w:val="Nessuno"/>
          <w:color w:val="75787B"/>
          <w:sz w:val="22"/>
          <w:szCs w:val="22"/>
          <w:u w:color="75787B"/>
        </w:rPr>
        <w:t xml:space="preserve">serve infatti diversi clienti con soluzioni come mobile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wallets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,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app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di acquisto multicanale ed altri prodotti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Fintech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innovativi per top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brands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della GDO, del Retail, dei Financial Services e delle Telecomunicazioni.</w:t>
      </w:r>
    </w:p>
    <w:p w:rsidR="00E12C71" w:rsidRDefault="00E12C71" w:rsidP="00E12C71">
      <w:pPr>
        <w:spacing w:line="276" w:lineRule="auto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575843" w:rsidRDefault="00467D4B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  <w:r>
        <w:rPr>
          <w:rStyle w:val="Nessuno"/>
          <w:color w:val="75787B"/>
          <w:sz w:val="22"/>
          <w:szCs w:val="22"/>
          <w:u w:color="75787B"/>
        </w:rPr>
        <w:t>Tra i cl</w:t>
      </w:r>
      <w:r w:rsidR="00E12C71">
        <w:rPr>
          <w:rStyle w:val="Nessuno"/>
          <w:color w:val="75787B"/>
          <w:sz w:val="22"/>
          <w:szCs w:val="22"/>
          <w:u w:color="75787B"/>
        </w:rPr>
        <w:t xml:space="preserve">ienti di </w:t>
      </w:r>
      <w:proofErr w:type="spellStart"/>
      <w:r w:rsidR="00E12C71">
        <w:rPr>
          <w:rStyle w:val="Nessuno"/>
          <w:color w:val="75787B"/>
          <w:sz w:val="22"/>
          <w:szCs w:val="22"/>
          <w:u w:color="75787B"/>
        </w:rPr>
        <w:t>Sparkling</w:t>
      </w:r>
      <w:proofErr w:type="spellEnd"/>
      <w:r w:rsidR="00E12C71">
        <w:rPr>
          <w:rStyle w:val="Nessuno"/>
          <w:color w:val="75787B"/>
          <w:sz w:val="22"/>
          <w:szCs w:val="22"/>
          <w:u w:color="75787B"/>
        </w:rPr>
        <w:t xml:space="preserve"> 18 ci sono</w:t>
      </w:r>
      <w:r>
        <w:rPr>
          <w:rStyle w:val="Nessuno"/>
          <w:color w:val="75787B"/>
          <w:sz w:val="22"/>
          <w:szCs w:val="22"/>
          <w:u w:color="75787B"/>
        </w:rPr>
        <w:t xml:space="preserve"> brand come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Eataly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,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Auchan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, Rosso Pomodoro e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Roadhouse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>, per i quali sono s</w:t>
      </w:r>
      <w:r w:rsidR="00E12C71">
        <w:rPr>
          <w:rStyle w:val="Nessuno"/>
          <w:color w:val="75787B"/>
          <w:sz w:val="22"/>
          <w:szCs w:val="22"/>
          <w:u w:color="75787B"/>
        </w:rPr>
        <w:t xml:space="preserve">tate sviluppate </w:t>
      </w:r>
      <w:proofErr w:type="spellStart"/>
      <w:r w:rsidR="00E12C71">
        <w:rPr>
          <w:rStyle w:val="Nessuno"/>
          <w:color w:val="75787B"/>
          <w:sz w:val="22"/>
          <w:szCs w:val="22"/>
          <w:u w:color="75787B"/>
        </w:rPr>
        <w:t>app</w:t>
      </w:r>
      <w:proofErr w:type="spellEnd"/>
      <w:r w:rsidR="00E12C71">
        <w:rPr>
          <w:rStyle w:val="Nessuno"/>
          <w:color w:val="75787B"/>
          <w:sz w:val="22"/>
          <w:szCs w:val="22"/>
          <w:u w:color="75787B"/>
        </w:rPr>
        <w:t xml:space="preserve"> che permetto</w:t>
      </w:r>
      <w:r>
        <w:rPr>
          <w:rStyle w:val="Nessuno"/>
          <w:color w:val="75787B"/>
          <w:sz w:val="22"/>
          <w:szCs w:val="22"/>
          <w:u w:color="75787B"/>
        </w:rPr>
        <w:t>no esperienze di acquisto innovative e totalmente digitali.</w:t>
      </w:r>
      <w:r w:rsidR="00E12C71">
        <w:rPr>
          <w:rStyle w:val="Nessuno"/>
          <w:color w:val="75787B"/>
          <w:sz w:val="22"/>
          <w:szCs w:val="22"/>
          <w:u w:color="75787B"/>
        </w:rPr>
        <w:t xml:space="preserve"> Queste</w:t>
      </w:r>
      <w:r>
        <w:rPr>
          <w:rStyle w:val="Nessuno"/>
          <w:color w:val="75787B"/>
          <w:sz w:val="22"/>
          <w:szCs w:val="22"/>
          <w:u w:color="75787B"/>
        </w:rPr>
        <w:t xml:space="preserve"> fanno leva su una piattaforma completa e flessibile che include diverse funzionalità per la gestione del punto vendita, un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Payment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Gateway certificato PCI DSS 3.2 Level 1, servizi di gestione VAS per i Programmi di fidelizzazione, emissione di buoni sconto e coupon e molto altro. </w:t>
      </w:r>
    </w:p>
    <w:p w:rsidR="00575843" w:rsidRDefault="00575843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575843" w:rsidRDefault="00467D4B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  <w:r>
        <w:rPr>
          <w:rStyle w:val="Nessuno"/>
          <w:color w:val="75787B"/>
          <w:sz w:val="22"/>
          <w:szCs w:val="22"/>
          <w:u w:color="75787B"/>
        </w:rPr>
        <w:t xml:space="preserve">L’ingresso nel Gruppo di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di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Sparkling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18 – per la quale nelle prossime settimane verrà definito il piano di integrazione in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Payments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- è particolarmente strategico perché avviene in un momento in cui i pagamenti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omnichannel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sono in crescita costante.</w:t>
      </w:r>
    </w:p>
    <w:p w:rsidR="00575843" w:rsidRDefault="00575843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575843" w:rsidRDefault="00467D4B">
      <w:pPr>
        <w:spacing w:line="276" w:lineRule="auto"/>
        <w:jc w:val="both"/>
        <w:rPr>
          <w:rStyle w:val="Nessuno"/>
          <w:i/>
          <w:iCs/>
          <w:color w:val="75787B"/>
          <w:sz w:val="22"/>
          <w:szCs w:val="22"/>
          <w:u w:color="75787B"/>
        </w:rPr>
      </w:pPr>
      <w:r>
        <w:rPr>
          <w:rStyle w:val="Nessuno"/>
          <w:color w:val="75787B"/>
          <w:sz w:val="22"/>
          <w:szCs w:val="22"/>
          <w:u w:color="75787B"/>
        </w:rPr>
        <w:t>“</w:t>
      </w:r>
      <w:r>
        <w:rPr>
          <w:rStyle w:val="Nessuno"/>
          <w:i/>
          <w:iCs/>
          <w:color w:val="75787B"/>
          <w:sz w:val="22"/>
          <w:szCs w:val="22"/>
          <w:u w:color="75787B"/>
        </w:rPr>
        <w:t xml:space="preserve">Molte stime di mercato, confermate anche dalle analisi di </w:t>
      </w:r>
      <w:proofErr w:type="spellStart"/>
      <w:r>
        <w:rPr>
          <w:rStyle w:val="Nessuno"/>
          <w:i/>
          <w:iCs/>
          <w:color w:val="75787B"/>
          <w:sz w:val="22"/>
          <w:szCs w:val="22"/>
          <w:u w:color="75787B"/>
        </w:rPr>
        <w:t>Nexi</w:t>
      </w:r>
      <w:proofErr w:type="spellEnd"/>
      <w:r>
        <w:rPr>
          <w:rStyle w:val="Nessuno"/>
          <w:i/>
          <w:iCs/>
          <w:color w:val="75787B"/>
          <w:sz w:val="22"/>
          <w:szCs w:val="22"/>
          <w:u w:color="75787B"/>
        </w:rPr>
        <w:t xml:space="preserve">, proiettano i pagamenti </w:t>
      </w:r>
      <w:proofErr w:type="spellStart"/>
      <w:r>
        <w:rPr>
          <w:rStyle w:val="Nessuno"/>
          <w:i/>
          <w:iCs/>
          <w:color w:val="75787B"/>
          <w:sz w:val="22"/>
          <w:szCs w:val="22"/>
          <w:u w:color="75787B"/>
        </w:rPr>
        <w:t>omnicanale</w:t>
      </w:r>
      <w:proofErr w:type="spellEnd"/>
      <w:r>
        <w:rPr>
          <w:rStyle w:val="Nessuno"/>
          <w:i/>
          <w:iCs/>
          <w:color w:val="75787B"/>
          <w:sz w:val="22"/>
          <w:szCs w:val="22"/>
          <w:u w:color="75787B"/>
        </w:rPr>
        <w:t xml:space="preserve"> in Italia alla quota di 20/25 miliardi di euro annui al 2025: l’acquisizione di </w:t>
      </w:r>
      <w:proofErr w:type="spellStart"/>
      <w:r>
        <w:rPr>
          <w:rStyle w:val="Nessuno"/>
          <w:i/>
          <w:iCs/>
          <w:color w:val="75787B"/>
          <w:sz w:val="22"/>
          <w:szCs w:val="22"/>
          <w:u w:color="75787B"/>
        </w:rPr>
        <w:t>Sparkling</w:t>
      </w:r>
      <w:proofErr w:type="spellEnd"/>
      <w:r>
        <w:rPr>
          <w:rStyle w:val="Nessuno"/>
          <w:i/>
          <w:iCs/>
          <w:color w:val="75787B"/>
          <w:sz w:val="22"/>
          <w:szCs w:val="22"/>
          <w:u w:color="75787B"/>
        </w:rPr>
        <w:t xml:space="preserve"> 18 ci permette di presidiare al meglio questo segmento di mercato.</w:t>
      </w:r>
    </w:p>
    <w:p w:rsidR="00575843" w:rsidRDefault="006A17CF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  <w:r>
        <w:rPr>
          <w:rStyle w:val="Nessuno"/>
          <w:i/>
          <w:iCs/>
          <w:color w:val="75787B"/>
          <w:sz w:val="22"/>
          <w:szCs w:val="22"/>
          <w:u w:color="75787B"/>
        </w:rPr>
        <w:t xml:space="preserve">Garantirà </w:t>
      </w:r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>alle</w:t>
      </w:r>
      <w:r>
        <w:rPr>
          <w:rStyle w:val="Nessuno"/>
          <w:i/>
          <w:iCs/>
          <w:color w:val="75787B"/>
          <w:sz w:val="22"/>
          <w:szCs w:val="22"/>
          <w:u w:color="75787B"/>
        </w:rPr>
        <w:t xml:space="preserve"> nostre banche partner la possibilità di </w:t>
      </w:r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usufruire di una serie di nuovi servizi targati </w:t>
      </w:r>
      <w:proofErr w:type="spellStart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>Nexi</w:t>
      </w:r>
      <w:proofErr w:type="spellEnd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 </w:t>
      </w:r>
      <w:r>
        <w:rPr>
          <w:rStyle w:val="Nessuno"/>
          <w:i/>
          <w:iCs/>
          <w:color w:val="75787B"/>
          <w:sz w:val="22"/>
          <w:szCs w:val="22"/>
          <w:u w:color="75787B"/>
        </w:rPr>
        <w:t>da</w:t>
      </w:r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 mettere a disposizione dei propri clienti e ci permetterà di servire ancora meglio i grandi </w:t>
      </w:r>
      <w:proofErr w:type="spellStart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>merchant</w:t>
      </w:r>
      <w:proofErr w:type="spellEnd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, che hanno necessità di coprire </w:t>
      </w:r>
      <w:proofErr w:type="spellStart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>customer</w:t>
      </w:r>
      <w:proofErr w:type="spellEnd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 </w:t>
      </w:r>
      <w:proofErr w:type="spellStart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>journey</w:t>
      </w:r>
      <w:proofErr w:type="spellEnd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 sempre più articolati e sofisticati</w:t>
      </w:r>
      <w:r>
        <w:rPr>
          <w:rStyle w:val="Nessuno"/>
          <w:i/>
          <w:iCs/>
          <w:color w:val="75787B"/>
          <w:sz w:val="22"/>
          <w:szCs w:val="22"/>
          <w:u w:color="75787B"/>
        </w:rPr>
        <w:t xml:space="preserve"> -</w:t>
      </w:r>
      <w:r w:rsidR="00467D4B">
        <w:rPr>
          <w:rStyle w:val="Nessuno"/>
          <w:color w:val="75787B"/>
          <w:sz w:val="22"/>
          <w:szCs w:val="22"/>
          <w:u w:color="75787B"/>
        </w:rPr>
        <w:t xml:space="preserve"> dichiara Roberto Catanzaro, Busines</w:t>
      </w:r>
      <w:r>
        <w:rPr>
          <w:rStyle w:val="Nessuno"/>
          <w:color w:val="75787B"/>
          <w:sz w:val="22"/>
          <w:szCs w:val="22"/>
          <w:u w:color="75787B"/>
        </w:rPr>
        <w:t xml:space="preserve">s Development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Director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di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- </w:t>
      </w:r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I clienti attuali di Sparkling18 </w:t>
      </w:r>
      <w:r>
        <w:rPr>
          <w:rStyle w:val="Nessuno"/>
          <w:i/>
          <w:iCs/>
          <w:color w:val="75787B"/>
          <w:sz w:val="22"/>
          <w:szCs w:val="22"/>
          <w:u w:color="75787B"/>
        </w:rPr>
        <w:t xml:space="preserve">disporranno </w:t>
      </w:r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 inoltre di una gamma di servizi ancora più ampia e completa, grazie all</w:t>
      </w:r>
      <w:r>
        <w:rPr>
          <w:rStyle w:val="Nessuno"/>
          <w:i/>
          <w:iCs/>
          <w:color w:val="75787B"/>
          <w:sz w:val="22"/>
          <w:szCs w:val="22"/>
          <w:u w:color="75787B"/>
        </w:rPr>
        <w:t>’esperienza e</w:t>
      </w:r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 alle </w:t>
      </w:r>
      <w:proofErr w:type="spellStart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>capabilities</w:t>
      </w:r>
      <w:proofErr w:type="spellEnd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 xml:space="preserve"> di </w:t>
      </w:r>
      <w:proofErr w:type="spellStart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>Nexi</w:t>
      </w:r>
      <w:proofErr w:type="spellEnd"/>
      <w:r w:rsidR="00467D4B">
        <w:rPr>
          <w:rStyle w:val="Nessuno"/>
          <w:i/>
          <w:iCs/>
          <w:color w:val="75787B"/>
          <w:sz w:val="22"/>
          <w:szCs w:val="22"/>
          <w:u w:color="75787B"/>
        </w:rPr>
        <w:t>”</w:t>
      </w:r>
    </w:p>
    <w:p w:rsidR="00575843" w:rsidRDefault="00575843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575843" w:rsidRDefault="00467D4B">
      <w:pP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  <w:r>
        <w:rPr>
          <w:rStyle w:val="Nessuno"/>
          <w:color w:val="75787B"/>
          <w:sz w:val="22"/>
          <w:szCs w:val="22"/>
          <w:u w:color="75787B"/>
        </w:rPr>
        <w:t xml:space="preserve">L’acquisizione di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Sparkling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18, Start Up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Fintech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con una concreta esperienza nello sviluppo di prodotti innovativi, è per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Nexi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 xml:space="preserve"> un ulteriore rafforzamento nel mercato dei pagamenti digitali di cui la </w:t>
      </w:r>
      <w:proofErr w:type="spellStart"/>
      <w:r>
        <w:rPr>
          <w:rStyle w:val="Nessuno"/>
          <w:color w:val="75787B"/>
          <w:sz w:val="22"/>
          <w:szCs w:val="22"/>
          <w:u w:color="75787B"/>
        </w:rPr>
        <w:t>PayTech</w:t>
      </w:r>
      <w:proofErr w:type="spellEnd"/>
      <w:r>
        <w:rPr>
          <w:rStyle w:val="Nessuno"/>
          <w:color w:val="75787B"/>
          <w:sz w:val="22"/>
          <w:szCs w:val="22"/>
          <w:u w:color="75787B"/>
        </w:rPr>
        <w:t>, assieme alle proprie banche partner, sta guidando l’evoluzione nel nostro Paese.</w:t>
      </w:r>
    </w:p>
    <w:p w:rsidR="00575843" w:rsidRDefault="00575843">
      <w:pPr>
        <w:pBdr>
          <w:bottom w:val="single" w:sz="6" w:space="1" w:color="auto"/>
        </w:pBd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6A17CF" w:rsidRDefault="006A17CF">
      <w:pPr>
        <w:pBdr>
          <w:top w:val="none" w:sz="0" w:space="0" w:color="auto"/>
        </w:pBdr>
        <w:spacing w:line="276" w:lineRule="auto"/>
        <w:jc w:val="both"/>
        <w:rPr>
          <w:rStyle w:val="Nessuno"/>
          <w:color w:val="75787B"/>
          <w:sz w:val="22"/>
          <w:szCs w:val="22"/>
          <w:u w:color="75787B"/>
        </w:rPr>
      </w:pPr>
    </w:p>
    <w:p w:rsidR="006A17CF" w:rsidRDefault="006A17CF">
      <w:pPr>
        <w:spacing w:line="260" w:lineRule="exact"/>
        <w:jc w:val="both"/>
        <w:rPr>
          <w:rStyle w:val="Nessuno"/>
          <w:b/>
          <w:bCs/>
          <w:color w:val="4472C4"/>
          <w:u w:color="75787B"/>
        </w:rPr>
      </w:pPr>
    </w:p>
    <w:p w:rsidR="00575843" w:rsidRPr="00A95603" w:rsidRDefault="00467D4B">
      <w:pPr>
        <w:spacing w:line="260" w:lineRule="exact"/>
        <w:jc w:val="both"/>
        <w:rPr>
          <w:rStyle w:val="Nessuno"/>
          <w:b/>
          <w:bCs/>
          <w:color w:val="4472C4"/>
          <w:u w:color="75787B"/>
        </w:rPr>
      </w:pPr>
      <w:proofErr w:type="spellStart"/>
      <w:r w:rsidRPr="00A95603">
        <w:rPr>
          <w:rStyle w:val="Nessuno"/>
          <w:b/>
          <w:bCs/>
          <w:color w:val="4472C4"/>
          <w:u w:color="75787B"/>
        </w:rPr>
        <w:t>Nexi</w:t>
      </w:r>
      <w:proofErr w:type="spellEnd"/>
      <w:r w:rsidRPr="00A95603">
        <w:rPr>
          <w:rStyle w:val="Nessuno"/>
          <w:b/>
          <w:bCs/>
          <w:color w:val="4472C4"/>
          <w:u w:color="75787B"/>
        </w:rPr>
        <w:t xml:space="preserve"> - </w:t>
      </w:r>
      <w:proofErr w:type="spellStart"/>
      <w:r w:rsidRPr="00A95603">
        <w:rPr>
          <w:rStyle w:val="Nessuno"/>
          <w:b/>
          <w:bCs/>
          <w:color w:val="4472C4"/>
          <w:u w:color="75787B"/>
        </w:rPr>
        <w:t>External</w:t>
      </w:r>
      <w:proofErr w:type="spellEnd"/>
      <w:r w:rsidRPr="00A95603">
        <w:rPr>
          <w:rStyle w:val="Nessuno"/>
          <w:b/>
          <w:bCs/>
          <w:color w:val="4472C4"/>
          <w:u w:color="75787B"/>
        </w:rPr>
        <w:t xml:space="preserve"> </w:t>
      </w:r>
      <w:proofErr w:type="spellStart"/>
      <w:r w:rsidRPr="00A95603">
        <w:rPr>
          <w:rStyle w:val="Nessuno"/>
          <w:b/>
          <w:bCs/>
          <w:color w:val="4472C4"/>
          <w:u w:color="75787B"/>
        </w:rPr>
        <w:t>Communication</w:t>
      </w:r>
      <w:proofErr w:type="spellEnd"/>
      <w:r w:rsidRPr="00A95603">
        <w:rPr>
          <w:rStyle w:val="Nessuno"/>
          <w:b/>
          <w:bCs/>
          <w:color w:val="4472C4"/>
          <w:u w:color="75787B"/>
        </w:rPr>
        <w:t xml:space="preserve"> &amp; Media Relations</w:t>
      </w:r>
    </w:p>
    <w:p w:rsidR="00575843" w:rsidRDefault="00467D4B">
      <w:pPr>
        <w:spacing w:line="260" w:lineRule="exact"/>
        <w:jc w:val="both"/>
        <w:rPr>
          <w:rStyle w:val="Nessuno"/>
          <w:b/>
          <w:bCs/>
          <w:color w:val="75787B"/>
          <w:u w:color="75787B"/>
        </w:rPr>
      </w:pPr>
      <w:r>
        <w:rPr>
          <w:rStyle w:val="Nessuno"/>
          <w:b/>
          <w:bCs/>
          <w:color w:val="75787B"/>
          <w:u w:color="75787B"/>
        </w:rPr>
        <w:t>Daniele de Sanctis</w:t>
      </w:r>
      <w:r>
        <w:rPr>
          <w:rStyle w:val="Nessuno"/>
          <w:b/>
          <w:bCs/>
          <w:color w:val="75787B"/>
          <w:u w:color="75787B"/>
        </w:rPr>
        <w:tab/>
      </w:r>
      <w:r>
        <w:rPr>
          <w:rStyle w:val="Nessuno"/>
          <w:b/>
          <w:bCs/>
          <w:color w:val="75787B"/>
          <w:u w:color="75787B"/>
        </w:rPr>
        <w:tab/>
      </w:r>
      <w:r>
        <w:rPr>
          <w:rStyle w:val="Nessuno"/>
          <w:b/>
          <w:bCs/>
          <w:color w:val="75787B"/>
          <w:u w:color="75787B"/>
        </w:rPr>
        <w:tab/>
      </w:r>
      <w:r>
        <w:rPr>
          <w:rStyle w:val="Nessuno"/>
          <w:b/>
          <w:bCs/>
          <w:color w:val="75787B"/>
          <w:u w:color="75787B"/>
        </w:rPr>
        <w:tab/>
        <w:t>Matteo Abbondanza</w:t>
      </w:r>
      <w:r>
        <w:rPr>
          <w:rStyle w:val="Nessuno"/>
          <w:b/>
          <w:bCs/>
          <w:color w:val="75787B"/>
          <w:u w:color="75787B"/>
        </w:rPr>
        <w:tab/>
      </w:r>
      <w:r>
        <w:rPr>
          <w:rStyle w:val="Nessuno"/>
          <w:b/>
          <w:bCs/>
          <w:color w:val="75787B"/>
          <w:u w:color="75787B"/>
        </w:rPr>
        <w:tab/>
      </w:r>
    </w:p>
    <w:p w:rsidR="00575843" w:rsidRDefault="000B34C9">
      <w:pPr>
        <w:spacing w:line="260" w:lineRule="exact"/>
        <w:jc w:val="both"/>
        <w:rPr>
          <w:rStyle w:val="Nessuno"/>
          <w:color w:val="75787B"/>
          <w:u w:color="75787B"/>
        </w:rPr>
      </w:pPr>
      <w:hyperlink r:id="rId6" w:history="1">
        <w:r w:rsidR="00467D4B">
          <w:rPr>
            <w:rStyle w:val="Hyperlink0"/>
          </w:rPr>
          <w:t>daniele.desanctis@nexi.it</w:t>
        </w:r>
      </w:hyperlink>
      <w:r w:rsidR="00467D4B">
        <w:rPr>
          <w:rStyle w:val="Nessuno"/>
          <w:color w:val="75787B"/>
          <w:u w:color="75787B"/>
        </w:rPr>
        <w:tab/>
      </w:r>
      <w:r w:rsidR="00467D4B">
        <w:rPr>
          <w:rStyle w:val="Nessuno"/>
          <w:color w:val="75787B"/>
          <w:u w:color="75787B"/>
        </w:rPr>
        <w:tab/>
      </w:r>
      <w:r w:rsidR="00467D4B">
        <w:rPr>
          <w:rStyle w:val="Nessuno"/>
          <w:color w:val="75787B"/>
          <w:u w:color="75787B"/>
        </w:rPr>
        <w:tab/>
        <w:t>matteo.abbondanza@nexi.it</w:t>
      </w:r>
      <w:r w:rsidR="00467D4B">
        <w:rPr>
          <w:rStyle w:val="Nessuno"/>
          <w:rFonts w:ascii="Arial Unicode MS" w:hAnsi="Arial Unicode MS"/>
          <w:color w:val="75787B"/>
          <w:u w:color="75787B"/>
        </w:rPr>
        <w:br/>
      </w:r>
      <w:r w:rsidR="00467D4B">
        <w:rPr>
          <w:rStyle w:val="Nessuno"/>
          <w:color w:val="75787B"/>
          <w:u w:color="75787B"/>
        </w:rPr>
        <w:t>Mobile: +39 346/015.1000</w:t>
      </w:r>
      <w:r w:rsidR="00467D4B">
        <w:rPr>
          <w:rStyle w:val="Nessuno"/>
          <w:color w:val="75787B"/>
          <w:u w:color="75787B"/>
        </w:rPr>
        <w:tab/>
      </w:r>
      <w:r w:rsidR="00467D4B">
        <w:rPr>
          <w:rStyle w:val="Nessuno"/>
          <w:color w:val="75787B"/>
          <w:u w:color="75787B"/>
        </w:rPr>
        <w:tab/>
      </w:r>
      <w:r w:rsidR="00467D4B">
        <w:rPr>
          <w:rStyle w:val="Nessuno"/>
          <w:color w:val="75787B"/>
          <w:u w:color="75787B"/>
        </w:rPr>
        <w:tab/>
        <w:t>Mobile: +39 348/406.8858</w:t>
      </w:r>
    </w:p>
    <w:p w:rsidR="00575843" w:rsidRDefault="00467D4B">
      <w:pPr>
        <w:spacing w:line="260" w:lineRule="exact"/>
        <w:jc w:val="both"/>
        <w:rPr>
          <w:rStyle w:val="Nessuno"/>
          <w:color w:val="75787B"/>
          <w:u w:color="75787B"/>
          <w:lang w:val="en-US"/>
        </w:rPr>
      </w:pPr>
      <w:proofErr w:type="gramStart"/>
      <w:r>
        <w:rPr>
          <w:rStyle w:val="Nessuno"/>
          <w:color w:val="75787B"/>
          <w:u w:color="75787B"/>
          <w:lang w:val="en-US"/>
        </w:rPr>
        <w:t>Direct:</w:t>
      </w:r>
      <w:proofErr w:type="gramEnd"/>
      <w:r>
        <w:rPr>
          <w:rStyle w:val="Nessuno"/>
          <w:color w:val="75787B"/>
          <w:u w:color="75787B"/>
          <w:lang w:val="en-US"/>
        </w:rPr>
        <w:t xml:space="preserve"> +39 02/3488.4491</w:t>
      </w:r>
      <w:r>
        <w:rPr>
          <w:rStyle w:val="Nessuno"/>
          <w:color w:val="75787B"/>
          <w:u w:color="75787B"/>
          <w:lang w:val="en-US"/>
        </w:rPr>
        <w:tab/>
      </w:r>
      <w:r>
        <w:rPr>
          <w:rStyle w:val="Nessuno"/>
          <w:color w:val="75787B"/>
          <w:u w:color="75787B"/>
          <w:lang w:val="en-US"/>
        </w:rPr>
        <w:tab/>
      </w:r>
      <w:r>
        <w:rPr>
          <w:rStyle w:val="Nessuno"/>
          <w:color w:val="75787B"/>
          <w:u w:color="75787B"/>
          <w:lang w:val="en-US"/>
        </w:rPr>
        <w:tab/>
        <w:t>Direct: +39 02/3488.2202</w:t>
      </w:r>
    </w:p>
    <w:p w:rsidR="00575843" w:rsidRDefault="00575843">
      <w:pPr>
        <w:spacing w:line="260" w:lineRule="exact"/>
        <w:jc w:val="both"/>
        <w:rPr>
          <w:rStyle w:val="Nessuno"/>
          <w:color w:val="75787B"/>
          <w:u w:color="75787B"/>
          <w:lang w:val="en-US"/>
        </w:rPr>
      </w:pPr>
    </w:p>
    <w:sectPr w:rsidR="00575843">
      <w:headerReference w:type="default" r:id="rId7"/>
      <w:footerReference w:type="default" r:id="rId8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C9" w:rsidRDefault="000B34C9">
      <w:pPr>
        <w:spacing w:line="240" w:lineRule="auto"/>
      </w:pPr>
      <w:r>
        <w:separator/>
      </w:r>
    </w:p>
  </w:endnote>
  <w:endnote w:type="continuationSeparator" w:id="0">
    <w:p w:rsidR="000B34C9" w:rsidRDefault="000B3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43" w:rsidRDefault="0057584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C9" w:rsidRDefault="000B34C9">
      <w:pPr>
        <w:spacing w:line="240" w:lineRule="auto"/>
      </w:pPr>
      <w:r>
        <w:separator/>
      </w:r>
    </w:p>
  </w:footnote>
  <w:footnote w:type="continuationSeparator" w:id="0">
    <w:p w:rsidR="000B34C9" w:rsidRDefault="000B3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43" w:rsidRDefault="00467D4B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3"/>
    <w:rsid w:val="000B34C9"/>
    <w:rsid w:val="001871E4"/>
    <w:rsid w:val="00314DFC"/>
    <w:rsid w:val="00467D4B"/>
    <w:rsid w:val="004D6754"/>
    <w:rsid w:val="00575843"/>
    <w:rsid w:val="006A17CF"/>
    <w:rsid w:val="00A95603"/>
    <w:rsid w:val="00B90BDE"/>
    <w:rsid w:val="00D677D7"/>
    <w:rsid w:val="00E12C71"/>
    <w:rsid w:val="00F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C3C4-30C7-4EC8-A6E7-E54CC21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line="220" w:lineRule="exact"/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color w:val="75787B"/>
      <w:u w:color="75787B"/>
      <w:lang w:val="it-IT"/>
    </w:rPr>
  </w:style>
  <w:style w:type="character" w:customStyle="1" w:styleId="Hyperlink1">
    <w:name w:val="Hyperlink.1"/>
    <w:basedOn w:val="Nessuno"/>
    <w:rPr>
      <w:color w:val="75787B"/>
      <w:spacing w:val="0"/>
      <w:u w:color="75787B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e.desanctis@nex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Beghini Monica Annabella</cp:lastModifiedBy>
  <cp:revision>9</cp:revision>
  <dcterms:created xsi:type="dcterms:W3CDTF">2018-04-10T09:14:00Z</dcterms:created>
  <dcterms:modified xsi:type="dcterms:W3CDTF">2018-04-11T10:57:00Z</dcterms:modified>
</cp:coreProperties>
</file>