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A6" w:rsidRDefault="000A6F97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>Comunicato stampa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:rsidR="00D559A6" w:rsidRDefault="00D559A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C83963" w:rsidRDefault="00B95578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Financial </w:t>
      </w:r>
      <w:proofErr w:type="spell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Innovation</w:t>
      </w:r>
      <w:proofErr w:type="spell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– </w:t>
      </w:r>
      <w:proofErr w:type="spell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Italian</w:t>
      </w:r>
      <w:proofErr w:type="spell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Awards:</w:t>
      </w:r>
    </w:p>
    <w:p w:rsidR="00B95578" w:rsidRDefault="00B95578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proofErr w:type="spellStart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>Nexi</w:t>
      </w:r>
      <w:proofErr w:type="spellEnd"/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si aggiudica 5 menzioni di merito</w:t>
      </w:r>
    </w:p>
    <w:p w:rsidR="00E74BDB" w:rsidRDefault="00E74BDB" w:rsidP="00E74BDB">
      <w:pPr>
        <w:rPr>
          <w:b/>
          <w:bCs/>
        </w:rPr>
      </w:pPr>
    </w:p>
    <w:p w:rsidR="00B747AD" w:rsidRDefault="00B95578" w:rsidP="00E74BDB">
      <w:pPr>
        <w:spacing w:line="260" w:lineRule="exact"/>
        <w:jc w:val="center"/>
        <w:rPr>
          <w:rStyle w:val="Nessuno"/>
          <w:i/>
          <w:iCs/>
          <w:color w:val="75787B"/>
          <w:spacing w:val="-1"/>
          <w:sz w:val="22"/>
          <w:szCs w:val="22"/>
          <w:u w:color="75787B"/>
        </w:rPr>
      </w:pPr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Comunicazione, Marketing, Servizi di pagamento, Prodotti di credito, APP:</w:t>
      </w:r>
    </w:p>
    <w:p w:rsidR="00E74BDB" w:rsidRPr="00E74BDB" w:rsidRDefault="00B95578" w:rsidP="00E74BDB">
      <w:pPr>
        <w:spacing w:line="260" w:lineRule="exact"/>
        <w:jc w:val="center"/>
        <w:rPr>
          <w:rStyle w:val="Nessuno"/>
          <w:i/>
          <w:iCs/>
          <w:color w:val="75787B"/>
          <w:spacing w:val="-1"/>
          <w:sz w:val="22"/>
          <w:szCs w:val="22"/>
          <w:u w:color="75787B"/>
        </w:rPr>
      </w:pPr>
      <w:proofErr w:type="gramStart"/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la</w:t>
      </w:r>
      <w:proofErr w:type="gramEnd"/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>PayTech</w:t>
      </w:r>
      <w:proofErr w:type="spellEnd"/>
      <w:r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 delle banche premiata in 5 diverse categorie </w:t>
      </w:r>
    </w:p>
    <w:p w:rsidR="00E74BDB" w:rsidRDefault="00E74BDB" w:rsidP="00E74BDB"/>
    <w:p w:rsidR="00E74BDB" w:rsidRDefault="00E74BDB" w:rsidP="00E74BDB"/>
    <w:p w:rsidR="00B95578" w:rsidRDefault="00E74BDB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74BDB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Milano, </w:t>
      </w:r>
      <w:r w:rsidR="00B747AD">
        <w:rPr>
          <w:rStyle w:val="Nessuno"/>
          <w:b/>
          <w:color w:val="75787B"/>
          <w:spacing w:val="-1"/>
          <w:sz w:val="22"/>
          <w:szCs w:val="22"/>
          <w:u w:color="75787B"/>
        </w:rPr>
        <w:t>01</w:t>
      </w:r>
      <w:r w:rsidRPr="00E74BDB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B747AD">
        <w:rPr>
          <w:rStyle w:val="Nessuno"/>
          <w:b/>
          <w:color w:val="75787B"/>
          <w:spacing w:val="-1"/>
          <w:sz w:val="22"/>
          <w:szCs w:val="22"/>
          <w:u w:color="75787B"/>
        </w:rPr>
        <w:t>marzo</w:t>
      </w:r>
      <w:r w:rsidRPr="00E74BDB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2018</w:t>
      </w: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– </w:t>
      </w:r>
      <w:proofErr w:type="spellStart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 xml:space="preserve">, la </w:t>
      </w:r>
      <w:proofErr w:type="spellStart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>PayTech</w:t>
      </w:r>
      <w:proofErr w:type="spellEnd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 xml:space="preserve"> delle Banche, si è aggiudicata 5 menzioni di merito al premio </w:t>
      </w:r>
      <w:proofErr w:type="spellStart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>AIFIn</w:t>
      </w:r>
      <w:proofErr w:type="spellEnd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 xml:space="preserve"> “Financial </w:t>
      </w:r>
      <w:proofErr w:type="spellStart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>Innovation</w:t>
      </w:r>
      <w:proofErr w:type="spellEnd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 xml:space="preserve"> – </w:t>
      </w:r>
      <w:proofErr w:type="spellStart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>Italian</w:t>
      </w:r>
      <w:proofErr w:type="spellEnd"/>
      <w:r w:rsidR="00B95578">
        <w:rPr>
          <w:rStyle w:val="Nessuno"/>
          <w:color w:val="75787B"/>
          <w:spacing w:val="-1"/>
          <w:sz w:val="22"/>
          <w:szCs w:val="22"/>
          <w:u w:color="75787B"/>
        </w:rPr>
        <w:t xml:space="preserve"> Awards”, l’osservatorio annuale che ha lo scopo di promuovere il ruolo dell’innovazione nei settori bancario, assicurativo, finanziario.</w:t>
      </w:r>
    </w:p>
    <w:p w:rsidR="00B95578" w:rsidRDefault="00B95578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B95578" w:rsidRDefault="00FF3709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Queste</w:t>
      </w:r>
      <w:r w:rsidR="00B747A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0911DB">
        <w:rPr>
          <w:rStyle w:val="Nessuno"/>
          <w:color w:val="75787B"/>
          <w:spacing w:val="-1"/>
          <w:sz w:val="22"/>
          <w:szCs w:val="22"/>
          <w:u w:color="75787B"/>
        </w:rPr>
        <w:t xml:space="preserve">le </w:t>
      </w:r>
      <w:bookmarkStart w:id="0" w:name="_GoBack"/>
      <w:bookmarkEnd w:id="0"/>
      <w:r w:rsidR="00B747AD">
        <w:rPr>
          <w:rStyle w:val="Nessuno"/>
          <w:color w:val="75787B"/>
          <w:spacing w:val="-1"/>
          <w:sz w:val="22"/>
          <w:szCs w:val="22"/>
          <w:u w:color="75787B"/>
        </w:rPr>
        <w:t xml:space="preserve">categorie in cui </w:t>
      </w:r>
      <w:proofErr w:type="spellStart"/>
      <w:r w:rsidR="00B747A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B747AD">
        <w:rPr>
          <w:rStyle w:val="Nessuno"/>
          <w:color w:val="75787B"/>
          <w:spacing w:val="-1"/>
          <w:sz w:val="22"/>
          <w:szCs w:val="22"/>
          <w:u w:color="75787B"/>
        </w:rPr>
        <w:t xml:space="preserve"> ha ricevuto un riconoscimento:</w:t>
      </w:r>
    </w:p>
    <w:p w:rsidR="00FF3709" w:rsidRDefault="00FF3709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B747AD" w:rsidRDefault="00B747AD" w:rsidP="00B747AD">
      <w:pPr>
        <w:pStyle w:val="Paragrafoelenco"/>
        <w:numPr>
          <w:ilvl w:val="0"/>
          <w:numId w:val="7"/>
        </w:num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Comunicazione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: per le attività di </w:t>
      </w:r>
      <w:proofErr w:type="spellStart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rebranding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che, a fine 2017, hanno portato alla nascita di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>, l’azienda nata dall’esperienza di ICBPI e CartaSi con l’obiettivo di costruire, insieme alle Banche partner, il futuro dei pagamenti digitali in Italia;</w:t>
      </w:r>
    </w:p>
    <w:p w:rsidR="00B95578" w:rsidRDefault="00B747AD" w:rsidP="00D40557">
      <w:pPr>
        <w:pStyle w:val="Paragrafoelenco"/>
        <w:numPr>
          <w:ilvl w:val="0"/>
          <w:numId w:val="7"/>
        </w:num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Marketing</w:t>
      </w:r>
      <w:r w:rsidRPr="00B747AD">
        <w:rPr>
          <w:rStyle w:val="Nessuno"/>
          <w:color w:val="75787B"/>
          <w:spacing w:val="-1"/>
          <w:sz w:val="22"/>
          <w:szCs w:val="22"/>
          <w:u w:color="75787B"/>
        </w:rPr>
        <w:t xml:space="preserve">: per il lancio di </w:t>
      </w:r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#</w:t>
      </w:r>
      <w:proofErr w:type="spellStart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iosi</w:t>
      </w:r>
      <w:proofErr w:type="spellEnd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,</w:t>
      </w:r>
      <w:r w:rsidRPr="00B747AD">
        <w:rPr>
          <w:rStyle w:val="Nessuno"/>
          <w:color w:val="75787B"/>
          <w:spacing w:val="-1"/>
          <w:sz w:val="22"/>
          <w:szCs w:val="22"/>
          <w:u w:color="75787B"/>
        </w:rPr>
        <w:t xml:space="preserve"> il programma di </w:t>
      </w:r>
      <w:proofErr w:type="spellStart"/>
      <w:r w:rsidRPr="00B747AD">
        <w:rPr>
          <w:rStyle w:val="Nessuno"/>
          <w:color w:val="75787B"/>
          <w:spacing w:val="-1"/>
          <w:sz w:val="22"/>
          <w:szCs w:val="22"/>
          <w:u w:color="75787B"/>
        </w:rPr>
        <w:t>Next</w:t>
      </w:r>
      <w:proofErr w:type="spellEnd"/>
      <w:r w:rsidRPr="00B747AD">
        <w:rPr>
          <w:rStyle w:val="Nessuno"/>
          <w:color w:val="75787B"/>
          <w:spacing w:val="-1"/>
          <w:sz w:val="22"/>
          <w:szCs w:val="22"/>
          <w:u w:color="75787B"/>
        </w:rPr>
        <w:t xml:space="preserve"> Generation Engagement che mette a disposizione, automaticamente e gratis, una serie di servizi per le carte di pagamento </w:t>
      </w:r>
      <w:proofErr w:type="spellStart"/>
      <w:r w:rsidRPr="00B747A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B747AD">
        <w:rPr>
          <w:rStyle w:val="Nessuno"/>
          <w:color w:val="75787B"/>
          <w:spacing w:val="-1"/>
          <w:sz w:val="22"/>
          <w:szCs w:val="22"/>
          <w:u w:color="75787B"/>
        </w:rPr>
        <w:t xml:space="preserve">; </w:t>
      </w:r>
    </w:p>
    <w:p w:rsidR="00FF3709" w:rsidRDefault="00B747AD" w:rsidP="00FF3709">
      <w:pPr>
        <w:pStyle w:val="Paragrafoelenco"/>
        <w:numPr>
          <w:ilvl w:val="0"/>
          <w:numId w:val="7"/>
        </w:num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Servizi di pagamento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: per la piattaforma di </w:t>
      </w:r>
      <w:proofErr w:type="spellStart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Instant</w:t>
      </w:r>
      <w:proofErr w:type="spellEnd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Payments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sviluppata in piena conformità alle specifiche del nuovo schema “</w:t>
      </w:r>
      <w:proofErr w:type="spellStart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Sct</w:t>
      </w:r>
      <w:proofErr w:type="spellEnd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inst</w:t>
      </w:r>
      <w:proofErr w:type="spellEnd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” definite dall’EPC (</w:t>
      </w:r>
      <w:proofErr w:type="spellStart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European</w:t>
      </w:r>
      <w:proofErr w:type="spellEnd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Payment</w:t>
      </w:r>
      <w:proofErr w:type="spellEnd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Council</w:t>
      </w:r>
      <w:proofErr w:type="spellEnd"/>
      <w:r w:rsidRPr="00451ED5">
        <w:rPr>
          <w:rStyle w:val="Nessuno"/>
          <w:color w:val="75787B"/>
          <w:spacing w:val="-1"/>
          <w:sz w:val="22"/>
          <w:szCs w:val="22"/>
          <w:u w:color="75787B"/>
        </w:rPr>
        <w:t>) a livello europeo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;</w:t>
      </w:r>
    </w:p>
    <w:p w:rsidR="00E74BDB" w:rsidRDefault="00B747AD" w:rsidP="0040557B">
      <w:pPr>
        <w:pStyle w:val="Paragrafoelenco"/>
        <w:numPr>
          <w:ilvl w:val="0"/>
          <w:numId w:val="7"/>
        </w:num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Prodotti di credito</w:t>
      </w:r>
      <w:r w:rsidRPr="00FF3709">
        <w:rPr>
          <w:rStyle w:val="Nessuno"/>
          <w:color w:val="75787B"/>
          <w:spacing w:val="-1"/>
          <w:sz w:val="22"/>
          <w:szCs w:val="22"/>
          <w:u w:color="75787B"/>
        </w:rPr>
        <w:t xml:space="preserve">: per </w:t>
      </w:r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Easy Shopping</w:t>
      </w:r>
      <w:r w:rsidRPr="00FF3709">
        <w:rPr>
          <w:rStyle w:val="Nessuno"/>
          <w:color w:val="75787B"/>
          <w:spacing w:val="-1"/>
          <w:sz w:val="22"/>
          <w:szCs w:val="22"/>
          <w:u w:color="75787B"/>
        </w:rPr>
        <w:t xml:space="preserve">, la nuova funzionalità che consente di rateizzare </w:t>
      </w:r>
      <w:r w:rsidR="00FF3709">
        <w:rPr>
          <w:rStyle w:val="Nessuno"/>
          <w:color w:val="75787B"/>
          <w:spacing w:val="-1"/>
          <w:sz w:val="22"/>
          <w:szCs w:val="22"/>
          <w:u w:color="75787B"/>
        </w:rPr>
        <w:t xml:space="preserve">le spese effettuate con carte </w:t>
      </w:r>
      <w:proofErr w:type="spellStart"/>
      <w:r w:rsidR="00FF3709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FF3709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 w:rsidR="00FF3709" w:rsidRPr="00FF3709">
        <w:rPr>
          <w:rStyle w:val="Nessuno"/>
          <w:color w:val="75787B"/>
          <w:spacing w:val="-1"/>
          <w:sz w:val="22"/>
          <w:szCs w:val="22"/>
          <w:u w:color="75787B"/>
        </w:rPr>
        <w:t xml:space="preserve">o una sola parte dell’importo, </w:t>
      </w:r>
      <w:r w:rsidR="00FF3709">
        <w:rPr>
          <w:rStyle w:val="Nessuno"/>
          <w:color w:val="75787B"/>
          <w:spacing w:val="-1"/>
          <w:sz w:val="22"/>
          <w:szCs w:val="22"/>
          <w:u w:color="75787B"/>
        </w:rPr>
        <w:t>e di estinguere il finanziamento in qualsiasi momento;</w:t>
      </w:r>
    </w:p>
    <w:p w:rsidR="00FF3709" w:rsidRDefault="00FF3709" w:rsidP="0040557B">
      <w:pPr>
        <w:pStyle w:val="Paragrafoelenco"/>
        <w:numPr>
          <w:ilvl w:val="0"/>
          <w:numId w:val="7"/>
        </w:num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APP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: per </w:t>
      </w:r>
      <w:proofErr w:type="spellStart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FF3709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Business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la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che </w:t>
      </w:r>
      <w:r w:rsidRPr="00FF3709">
        <w:rPr>
          <w:rStyle w:val="Nessuno"/>
          <w:color w:val="75787B"/>
          <w:spacing w:val="-1"/>
          <w:sz w:val="22"/>
          <w:szCs w:val="22"/>
          <w:u w:color="75787B"/>
        </w:rPr>
        <w:t>dà agli esercenti uno strumento innovativo per monitorare le transazioni e avere una visione d’insieme dei propri risultati e di quelli dei competitors</w:t>
      </w:r>
    </w:p>
    <w:p w:rsidR="00B95578" w:rsidRDefault="00B95578" w:rsidP="00231096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D559A6" w:rsidRPr="00D24FE2" w:rsidRDefault="00FF3709">
      <w:pPr>
        <w:pBdr>
          <w:bottom w:val="single" w:sz="6" w:space="0" w:color="000000"/>
        </w:pBdr>
        <w:spacing w:line="260" w:lineRule="exact"/>
        <w:jc w:val="both"/>
        <w:rPr>
          <w:rStyle w:val="Nessuno"/>
          <w:i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“</w:t>
      </w:r>
      <w:r w:rsidR="00913231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>I premi ricevuti testimoni</w:t>
      </w:r>
      <w:r w:rsidR="00D4346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ano il ruolo chiave di </w:t>
      </w:r>
      <w:proofErr w:type="spellStart"/>
      <w:r w:rsidR="00D43467">
        <w:rPr>
          <w:rStyle w:val="Nessuno"/>
          <w:i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D4346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per l’</w:t>
      </w:r>
      <w:r w:rsidR="00913231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innovazione e </w:t>
      </w:r>
      <w:r w:rsidR="00D4346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la </w:t>
      </w:r>
      <w:r w:rsidR="00913231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>digitalizzazione</w:t>
      </w:r>
      <w:r w:rsidR="00D4346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a supporto delle Banche partner</w:t>
      </w:r>
      <w:r w:rsidR="00913231">
        <w:rPr>
          <w:rStyle w:val="Nessuno"/>
          <w:color w:val="75787B"/>
          <w:spacing w:val="-1"/>
          <w:sz w:val="22"/>
          <w:szCs w:val="22"/>
          <w:u w:color="75787B"/>
        </w:rPr>
        <w:t xml:space="preserve">– commenta Erika Fattori, Brand &amp; </w:t>
      </w:r>
      <w:proofErr w:type="spellStart"/>
      <w:r w:rsidR="00913231">
        <w:rPr>
          <w:rStyle w:val="Nessuno"/>
          <w:color w:val="75787B"/>
          <w:spacing w:val="-1"/>
          <w:sz w:val="22"/>
          <w:szCs w:val="22"/>
          <w:u w:color="75787B"/>
        </w:rPr>
        <w:t>Communication</w:t>
      </w:r>
      <w:proofErr w:type="spellEnd"/>
      <w:r w:rsidR="00913231">
        <w:rPr>
          <w:rStyle w:val="Nessuno"/>
          <w:color w:val="75787B"/>
          <w:spacing w:val="-1"/>
          <w:sz w:val="22"/>
          <w:szCs w:val="22"/>
          <w:u w:color="75787B"/>
        </w:rPr>
        <w:t xml:space="preserve"> Manager di </w:t>
      </w:r>
      <w:proofErr w:type="spellStart"/>
      <w:r w:rsidR="00913231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91323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D24FE2">
        <w:rPr>
          <w:rStyle w:val="Nessuno"/>
          <w:color w:val="75787B"/>
          <w:spacing w:val="-1"/>
          <w:sz w:val="22"/>
          <w:szCs w:val="22"/>
          <w:u w:color="75787B"/>
        </w:rPr>
        <w:t>– Q</w:t>
      </w:r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>uesti riconoscimenti ci stimolano a continuare nello sviluppo di</w:t>
      </w:r>
      <w:r w:rsidR="00F36C7F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un’offerta di prodotti evoluta</w:t>
      </w:r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E40F6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per </w:t>
      </w:r>
      <w:r w:rsidR="00D43467">
        <w:rPr>
          <w:rStyle w:val="Nessuno"/>
          <w:i/>
          <w:color w:val="75787B"/>
          <w:spacing w:val="-1"/>
          <w:sz w:val="22"/>
          <w:szCs w:val="22"/>
          <w:u w:color="75787B"/>
        </w:rPr>
        <w:t>soddisfare le esigenze dei</w:t>
      </w:r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clienti</w:t>
      </w:r>
      <w:r w:rsidR="00D4346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delle Banche</w:t>
      </w:r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>, sia privati, sia esercenti</w:t>
      </w:r>
      <w:r w:rsidR="00D24FE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, </w:t>
      </w:r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che </w:t>
      </w:r>
      <w:r w:rsidR="00D24FE2">
        <w:rPr>
          <w:rStyle w:val="Nessuno"/>
          <w:i/>
          <w:color w:val="75787B"/>
          <w:spacing w:val="-1"/>
          <w:sz w:val="22"/>
          <w:szCs w:val="22"/>
          <w:u w:color="75787B"/>
        </w:rPr>
        <w:t>oggi richiedono</w:t>
      </w:r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una </w:t>
      </w:r>
      <w:proofErr w:type="spellStart"/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>customer</w:t>
      </w:r>
      <w:proofErr w:type="spellEnd"/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>experi</w:t>
      </w:r>
      <w:r w:rsidR="00DF7129">
        <w:rPr>
          <w:rStyle w:val="Nessuno"/>
          <w:i/>
          <w:color w:val="75787B"/>
          <w:spacing w:val="-1"/>
          <w:sz w:val="22"/>
          <w:szCs w:val="22"/>
          <w:u w:color="75787B"/>
        </w:rPr>
        <w:t>ence</w:t>
      </w:r>
      <w:proofErr w:type="spellEnd"/>
      <w:r w:rsidR="00DF7129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digitale sempre migliore</w:t>
      </w:r>
      <w:r w:rsidR="00D24FE2" w:rsidRPr="00D24FE2">
        <w:rPr>
          <w:rStyle w:val="Nessuno"/>
          <w:i/>
          <w:color w:val="75787B"/>
          <w:spacing w:val="-1"/>
          <w:sz w:val="22"/>
          <w:szCs w:val="22"/>
          <w:u w:color="75787B"/>
        </w:rPr>
        <w:t>”.</w:t>
      </w:r>
    </w:p>
    <w:p w:rsidR="00FF3709" w:rsidRDefault="00FF3709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31096" w:rsidRDefault="0023109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Pr="00231096" w:rsidRDefault="00AA1564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proofErr w:type="spellStart"/>
      <w:r w:rsidRPr="00231096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Pr="00231096">
        <w:rPr>
          <w:rStyle w:val="Nessuno"/>
          <w:b/>
          <w:color w:val="4472C4" w:themeColor="accent1"/>
          <w:spacing w:val="-1"/>
          <w:u w:color="75787B"/>
        </w:rPr>
        <w:t xml:space="preserve"> </w:t>
      </w:r>
      <w:proofErr w:type="spellStart"/>
      <w:r w:rsidRPr="00231096">
        <w:rPr>
          <w:rStyle w:val="Nessuno"/>
          <w:b/>
          <w:color w:val="4472C4" w:themeColor="accent1"/>
          <w:spacing w:val="-1"/>
          <w:u w:color="75787B"/>
        </w:rPr>
        <w:t>Communication</w:t>
      </w:r>
      <w:proofErr w:type="spellEnd"/>
      <w:r w:rsidRPr="00231096">
        <w:rPr>
          <w:rStyle w:val="Nessuno"/>
          <w:b/>
          <w:color w:val="4472C4" w:themeColor="accent1"/>
          <w:spacing w:val="-1"/>
          <w:u w:color="75787B"/>
        </w:rPr>
        <w:t xml:space="preserve"> &amp; Media Relations </w:t>
      </w:r>
      <w:r w:rsidR="003350B7" w:rsidRPr="00231096">
        <w:rPr>
          <w:rStyle w:val="Nessuno"/>
          <w:b/>
          <w:color w:val="4472C4" w:themeColor="accent1"/>
          <w:spacing w:val="-1"/>
          <w:u w:color="75787B"/>
        </w:rPr>
        <w:t xml:space="preserve">- </w:t>
      </w:r>
      <w:proofErr w:type="spellStart"/>
      <w:r w:rsidRPr="00231096">
        <w:rPr>
          <w:rStyle w:val="Nessuno"/>
          <w:b/>
          <w:color w:val="4472C4" w:themeColor="accent1"/>
          <w:spacing w:val="-1"/>
          <w:u w:color="75787B"/>
        </w:rPr>
        <w:t>Nexi</w:t>
      </w:r>
      <w:proofErr w:type="spellEnd"/>
    </w:p>
    <w:p w:rsidR="00AA1564" w:rsidRPr="00231096" w:rsidRDefault="00AA1564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Daniele de Sanctis</w:t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</w:p>
    <w:p w:rsidR="00AA1564" w:rsidRPr="00231096" w:rsidRDefault="00FE7EF8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7" w:history="1">
        <w:r w:rsidR="00AA1564" w:rsidRPr="00231096">
          <w:rPr>
            <w:rStyle w:val="Nessuno"/>
            <w:color w:val="75787B"/>
          </w:rPr>
          <w:t>daniele.desanctis@nexi.it</w:t>
        </w:r>
      </w:hyperlink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1223EF" w:rsidRPr="00231096">
        <w:rPr>
          <w:rStyle w:val="Nessuno"/>
          <w:color w:val="75787B"/>
          <w:spacing w:val="-1"/>
          <w:u w:color="75787B"/>
        </w:rPr>
        <w:br/>
        <w:t>346.015.1000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</w:p>
    <w:p w:rsidR="00AA1564" w:rsidRPr="00231096" w:rsidRDefault="00AA1564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02.3488.4491</w:t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</w:p>
    <w:p w:rsidR="00AA1564" w:rsidRPr="00231096" w:rsidRDefault="00CD2EE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Matteo Abbondanza</w:t>
      </w:r>
    </w:p>
    <w:p w:rsidR="001223EF" w:rsidRPr="00231096" w:rsidRDefault="001223EF" w:rsidP="001223EF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348.4068.858</w:t>
      </w:r>
    </w:p>
    <w:p w:rsidR="001223EF" w:rsidRPr="00231096" w:rsidRDefault="001223EF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02.3488.2202</w:t>
      </w:r>
    </w:p>
    <w:p w:rsidR="002D2E9E" w:rsidRPr="00231096" w:rsidRDefault="00CD2EE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matteo.abbondanza@nexi.it</w:t>
      </w:r>
    </w:p>
    <w:p w:rsidR="00CD2EE0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</w:p>
    <w:p w:rsidR="00C50A90" w:rsidRPr="00C50A90" w:rsidRDefault="00C50A90" w:rsidP="00C50A90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r w:rsidRPr="00C50A90">
        <w:rPr>
          <w:rStyle w:val="Nessuno"/>
          <w:b/>
          <w:color w:val="4472C4" w:themeColor="accent1"/>
          <w:spacing w:val="-1"/>
          <w:u w:color="75787B"/>
        </w:rPr>
        <w:lastRenderedPageBreak/>
        <w:t>Barabino &amp; Partners</w:t>
      </w:r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50A90">
        <w:rPr>
          <w:rStyle w:val="Nessuno"/>
          <w:color w:val="75787B"/>
          <w:spacing w:val="-1"/>
          <w:u w:color="75787B"/>
        </w:rPr>
        <w:t>Media Relations</w:t>
      </w:r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50A90">
        <w:rPr>
          <w:rStyle w:val="Nessuno"/>
          <w:color w:val="75787B"/>
          <w:spacing w:val="-1"/>
          <w:u w:color="75787B"/>
        </w:rPr>
        <w:t>Tel.: +39.02.72.02.35.35</w:t>
      </w:r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50A90">
        <w:rPr>
          <w:rStyle w:val="Nessuno"/>
          <w:color w:val="75787B"/>
          <w:spacing w:val="-1"/>
          <w:u w:color="75787B"/>
        </w:rPr>
        <w:t xml:space="preserve">Sabrina Ragone - </w:t>
      </w:r>
      <w:hyperlink r:id="rId8" w:history="1">
        <w:r w:rsidRPr="00C50A90">
          <w:rPr>
            <w:rStyle w:val="Nessuno"/>
            <w:color w:val="75787B"/>
            <w:spacing w:val="-1"/>
            <w:u w:color="75787B"/>
          </w:rPr>
          <w:t>s.ragone@barabino.it</w:t>
        </w:r>
      </w:hyperlink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50A90">
        <w:rPr>
          <w:rStyle w:val="Nessuno"/>
          <w:color w:val="75787B"/>
          <w:spacing w:val="-1"/>
          <w:u w:color="75787B"/>
        </w:rPr>
        <w:t xml:space="preserve">Paola Cuccia - </w:t>
      </w:r>
      <w:hyperlink r:id="rId9" w:history="1">
        <w:r w:rsidRPr="00C50A90">
          <w:rPr>
            <w:rStyle w:val="Nessuno"/>
            <w:color w:val="75787B"/>
            <w:spacing w:val="-1"/>
            <w:u w:color="75787B"/>
          </w:rPr>
          <w:t>p.cuccia@barabino.it</w:t>
        </w:r>
      </w:hyperlink>
      <w:r w:rsidRPr="00C50A90">
        <w:rPr>
          <w:rStyle w:val="Nessuno"/>
          <w:color w:val="75787B"/>
          <w:spacing w:val="-1"/>
          <w:u w:color="75787B"/>
        </w:rPr>
        <w:t xml:space="preserve"> </w:t>
      </w:r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50A90">
        <w:rPr>
          <w:rStyle w:val="Nessuno"/>
          <w:color w:val="75787B"/>
          <w:spacing w:val="-1"/>
          <w:u w:color="75787B"/>
        </w:rPr>
        <w:t>Alessio Costa -</w:t>
      </w:r>
      <w:hyperlink r:id="rId10" w:history="1">
        <w:r w:rsidRPr="00C50A90">
          <w:rPr>
            <w:rStyle w:val="Nessuno"/>
            <w:color w:val="75787B"/>
            <w:spacing w:val="-1"/>
            <w:u w:color="75787B"/>
          </w:rPr>
          <w:t>a.costa@barabino.it</w:t>
        </w:r>
      </w:hyperlink>
    </w:p>
    <w:sectPr w:rsidR="00C50A90" w:rsidRPr="00C50A90">
      <w:headerReference w:type="default" r:id="rId11"/>
      <w:footerReference w:type="default" r:id="rId12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F8" w:rsidRDefault="00FE7EF8">
      <w:pPr>
        <w:spacing w:line="240" w:lineRule="auto"/>
      </w:pPr>
      <w:r>
        <w:separator/>
      </w:r>
    </w:p>
  </w:endnote>
  <w:endnote w:type="continuationSeparator" w:id="0">
    <w:p w:rsidR="00FE7EF8" w:rsidRDefault="00FE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D559A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F8" w:rsidRDefault="00FE7EF8">
      <w:pPr>
        <w:spacing w:line="240" w:lineRule="auto"/>
      </w:pPr>
      <w:r>
        <w:separator/>
      </w:r>
    </w:p>
  </w:footnote>
  <w:footnote w:type="continuationSeparator" w:id="0">
    <w:p w:rsidR="00FE7EF8" w:rsidRDefault="00FE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0120CA4"/>
    <w:multiLevelType w:val="hybridMultilevel"/>
    <w:tmpl w:val="690EB336"/>
    <w:lvl w:ilvl="0" w:tplc="D95C5E1A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B37AF0"/>
    <w:multiLevelType w:val="multilevel"/>
    <w:tmpl w:val="2A3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75449"/>
    <w:multiLevelType w:val="hybridMultilevel"/>
    <w:tmpl w:val="51BC2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3C0D"/>
    <w:multiLevelType w:val="hybridMultilevel"/>
    <w:tmpl w:val="12E4F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E0E510A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1ADB6A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D68692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FE6878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30738E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1886C6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06ABBE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F41560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4414D0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121A3"/>
    <w:rsid w:val="000445BB"/>
    <w:rsid w:val="00087762"/>
    <w:rsid w:val="000911DB"/>
    <w:rsid w:val="0009149A"/>
    <w:rsid w:val="000A6F97"/>
    <w:rsid w:val="000C3618"/>
    <w:rsid w:val="000E3D85"/>
    <w:rsid w:val="001223EF"/>
    <w:rsid w:val="0013185D"/>
    <w:rsid w:val="001C7AD4"/>
    <w:rsid w:val="001D1827"/>
    <w:rsid w:val="00231096"/>
    <w:rsid w:val="002550D3"/>
    <w:rsid w:val="002D2E9E"/>
    <w:rsid w:val="00302628"/>
    <w:rsid w:val="0032148B"/>
    <w:rsid w:val="00334ACA"/>
    <w:rsid w:val="003350B7"/>
    <w:rsid w:val="003505E2"/>
    <w:rsid w:val="003628E2"/>
    <w:rsid w:val="003707A9"/>
    <w:rsid w:val="00395834"/>
    <w:rsid w:val="003C706C"/>
    <w:rsid w:val="003E2CB6"/>
    <w:rsid w:val="003E78BB"/>
    <w:rsid w:val="003F705B"/>
    <w:rsid w:val="00415FD4"/>
    <w:rsid w:val="0045253B"/>
    <w:rsid w:val="00494FD0"/>
    <w:rsid w:val="004B1BE6"/>
    <w:rsid w:val="005B67D9"/>
    <w:rsid w:val="005C5E4D"/>
    <w:rsid w:val="00614AC4"/>
    <w:rsid w:val="006470AA"/>
    <w:rsid w:val="00680F7E"/>
    <w:rsid w:val="00695AF8"/>
    <w:rsid w:val="00696148"/>
    <w:rsid w:val="006C7273"/>
    <w:rsid w:val="006D67EE"/>
    <w:rsid w:val="007B7D61"/>
    <w:rsid w:val="007D22A2"/>
    <w:rsid w:val="0088221E"/>
    <w:rsid w:val="008E78FA"/>
    <w:rsid w:val="00913231"/>
    <w:rsid w:val="00913598"/>
    <w:rsid w:val="00936C60"/>
    <w:rsid w:val="009F192C"/>
    <w:rsid w:val="009F509D"/>
    <w:rsid w:val="00A151AB"/>
    <w:rsid w:val="00A43256"/>
    <w:rsid w:val="00AA1564"/>
    <w:rsid w:val="00AA4C0D"/>
    <w:rsid w:val="00B14155"/>
    <w:rsid w:val="00B602B4"/>
    <w:rsid w:val="00B6711E"/>
    <w:rsid w:val="00B747AD"/>
    <w:rsid w:val="00B95578"/>
    <w:rsid w:val="00BB5AC9"/>
    <w:rsid w:val="00BD4175"/>
    <w:rsid w:val="00BD7E3C"/>
    <w:rsid w:val="00C338A5"/>
    <w:rsid w:val="00C50A90"/>
    <w:rsid w:val="00C83963"/>
    <w:rsid w:val="00CC6246"/>
    <w:rsid w:val="00CC6BA6"/>
    <w:rsid w:val="00CD2EE0"/>
    <w:rsid w:val="00CF4DD7"/>
    <w:rsid w:val="00D17BC9"/>
    <w:rsid w:val="00D24FE2"/>
    <w:rsid w:val="00D363D5"/>
    <w:rsid w:val="00D43467"/>
    <w:rsid w:val="00D559A6"/>
    <w:rsid w:val="00D65324"/>
    <w:rsid w:val="00DF7129"/>
    <w:rsid w:val="00E31A74"/>
    <w:rsid w:val="00E37E08"/>
    <w:rsid w:val="00E40F6C"/>
    <w:rsid w:val="00E46DB0"/>
    <w:rsid w:val="00E74BDB"/>
    <w:rsid w:val="00E80B0B"/>
    <w:rsid w:val="00E859AD"/>
    <w:rsid w:val="00E86B4A"/>
    <w:rsid w:val="00ED6CD2"/>
    <w:rsid w:val="00F35138"/>
    <w:rsid w:val="00F36C7F"/>
    <w:rsid w:val="00FA5D25"/>
    <w:rsid w:val="00FE53D0"/>
    <w:rsid w:val="00FE7EF8"/>
    <w:rsid w:val="00FF3709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qFormat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paragraph" w:styleId="NormaleWeb">
    <w:name w:val="Normal (Web)"/>
    <w:basedOn w:val="Normale"/>
    <w:uiPriority w:val="99"/>
    <w:semiHidden/>
    <w:unhideWhenUsed/>
    <w:rsid w:val="00B95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gone@barabin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costa@barab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uccia@barab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Beghini Monica Annabella</cp:lastModifiedBy>
  <cp:revision>4</cp:revision>
  <dcterms:created xsi:type="dcterms:W3CDTF">2018-03-01T11:04:00Z</dcterms:created>
  <dcterms:modified xsi:type="dcterms:W3CDTF">2018-03-06T17:17:00Z</dcterms:modified>
</cp:coreProperties>
</file>