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A6" w:rsidRDefault="000A6F97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>Comunicato stampa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:rsidR="00D559A6" w:rsidRDefault="00D559A6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5044FF" w:rsidRDefault="005044FF" w:rsidP="005044FF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 w:rsidRPr="005044FF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Bonifici istantanei: </w:t>
      </w:r>
    </w:p>
    <w:p w:rsidR="005044FF" w:rsidRDefault="005731BE" w:rsidP="005044FF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parte </w:t>
      </w:r>
      <w:r w:rsidR="005044FF" w:rsidRPr="005044FF">
        <w:rPr>
          <w:rStyle w:val="Nessuno"/>
          <w:b/>
          <w:color w:val="75787B"/>
          <w:spacing w:val="-1"/>
          <w:sz w:val="23"/>
          <w:szCs w:val="23"/>
          <w:u w:color="75787B"/>
        </w:rPr>
        <w:t>oggi la piattaforma di Nexi, leader italiano dei pagamenti digitali</w:t>
      </w:r>
    </w:p>
    <w:p w:rsidR="005044FF" w:rsidRPr="005044FF" w:rsidRDefault="005044FF" w:rsidP="005044FF">
      <w:pPr>
        <w:spacing w:line="260" w:lineRule="exact"/>
        <w:jc w:val="center"/>
        <w:rPr>
          <w:rStyle w:val="Nessuno"/>
          <w:b/>
          <w:bCs/>
          <w:color w:val="75787B"/>
          <w:spacing w:val="-1"/>
          <w:sz w:val="23"/>
          <w:szCs w:val="23"/>
          <w:u w:color="75787B"/>
        </w:rPr>
      </w:pPr>
    </w:p>
    <w:p w:rsidR="005044FF" w:rsidRPr="005044FF" w:rsidRDefault="005044FF" w:rsidP="005044FF">
      <w:pPr>
        <w:spacing w:line="260" w:lineRule="exact"/>
        <w:jc w:val="center"/>
        <w:rPr>
          <w:rStyle w:val="Nessuno"/>
          <w:i/>
          <w:iCs/>
          <w:color w:val="75787B"/>
          <w:spacing w:val="-1"/>
          <w:sz w:val="22"/>
          <w:szCs w:val="22"/>
          <w:u w:color="75787B"/>
        </w:rPr>
      </w:pPr>
      <w:r w:rsidRPr="005044FF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Il Credito Valtellinese sarà la prima banca pilota</w:t>
      </w:r>
    </w:p>
    <w:p w:rsidR="005044FF" w:rsidRDefault="005044FF" w:rsidP="005044FF">
      <w:r>
        <w:t> </w:t>
      </w:r>
    </w:p>
    <w:p w:rsidR="005044FF" w:rsidRDefault="005044FF" w:rsidP="005044FF"/>
    <w:p w:rsidR="00CD4559" w:rsidRPr="00CD4559" w:rsidRDefault="005044FF" w:rsidP="00CD4559">
      <w:pPr>
        <w:spacing w:after="225" w:line="360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b/>
          <w:bCs/>
          <w:color w:val="75787B"/>
          <w:spacing w:val="-1"/>
          <w:sz w:val="22"/>
          <w:szCs w:val="22"/>
          <w:u w:color="75787B"/>
        </w:rPr>
        <w:t xml:space="preserve">Milano, 21 novembre 2017 - </w:t>
      </w:r>
      <w:r w:rsidR="00451ED5" w:rsidRPr="00451ED5">
        <w:rPr>
          <w:rStyle w:val="Nessuno"/>
          <w:color w:val="75787B"/>
          <w:spacing w:val="-1"/>
          <w:sz w:val="22"/>
          <w:szCs w:val="22"/>
          <w:u w:color="75787B"/>
        </w:rPr>
        <w:t xml:space="preserve">Parte oggi la </w:t>
      </w:r>
      <w:r w:rsidR="00451ED5" w:rsidRPr="00451ED5">
        <w:rPr>
          <w:rStyle w:val="Nessuno"/>
          <w:b/>
          <w:color w:val="75787B"/>
          <w:spacing w:val="-1"/>
          <w:sz w:val="22"/>
          <w:szCs w:val="22"/>
          <w:u w:color="75787B"/>
        </w:rPr>
        <w:t>piattaforma italiana dedicata ai bonifici istantanei di Nexi,</w:t>
      </w:r>
      <w:r w:rsidR="00451ED5" w:rsidRPr="00451ED5">
        <w:rPr>
          <w:rStyle w:val="Nessuno"/>
          <w:color w:val="75787B"/>
          <w:spacing w:val="-1"/>
          <w:sz w:val="22"/>
          <w:szCs w:val="22"/>
          <w:u w:color="75787B"/>
        </w:rPr>
        <w:t xml:space="preserve"> leader dei pagamenti digitali in Italia, </w:t>
      </w:r>
      <w:r w:rsidR="00CD4559" w:rsidRPr="00CD4559">
        <w:rPr>
          <w:rStyle w:val="Nessuno"/>
          <w:color w:val="75787B"/>
          <w:spacing w:val="-1"/>
          <w:sz w:val="22"/>
          <w:szCs w:val="22"/>
          <w:u w:color="75787B"/>
        </w:rPr>
        <w:t>che prevede il regolamento nel sistema di compensaz</w:t>
      </w:r>
      <w:r w:rsidR="00892C2C">
        <w:rPr>
          <w:rStyle w:val="Nessuno"/>
          <w:color w:val="75787B"/>
          <w:spacing w:val="-1"/>
          <w:sz w:val="22"/>
          <w:szCs w:val="22"/>
          <w:u w:color="75787B"/>
        </w:rPr>
        <w:t>ione della Banca d’Italia BI-COMP</w:t>
      </w:r>
      <w:r w:rsidR="00CD4559" w:rsidRPr="00CD4559">
        <w:rPr>
          <w:rStyle w:val="Nessuno"/>
          <w:color w:val="75787B"/>
          <w:spacing w:val="-1"/>
          <w:sz w:val="22"/>
          <w:szCs w:val="22"/>
          <w:u w:color="75787B"/>
        </w:rPr>
        <w:t xml:space="preserve"> che è stato aper</w:t>
      </w:r>
      <w:r w:rsidR="00CD4559">
        <w:rPr>
          <w:rStyle w:val="Nessuno"/>
          <w:color w:val="75787B"/>
          <w:spacing w:val="-1"/>
          <w:sz w:val="22"/>
          <w:szCs w:val="22"/>
          <w:u w:color="75787B"/>
        </w:rPr>
        <w:t>to a tale tipologia di operazione</w:t>
      </w:r>
      <w:r w:rsidR="00CD4559" w:rsidRPr="00CD4559">
        <w:rPr>
          <w:rStyle w:val="Nessuno"/>
          <w:color w:val="75787B"/>
          <w:spacing w:val="-1"/>
          <w:sz w:val="22"/>
          <w:szCs w:val="22"/>
          <w:u w:color="75787B"/>
        </w:rPr>
        <w:t xml:space="preserve">. </w:t>
      </w:r>
    </w:p>
    <w:p w:rsidR="00451ED5" w:rsidRPr="00451ED5" w:rsidRDefault="00451ED5" w:rsidP="00451ED5">
      <w:pPr>
        <w:spacing w:after="225" w:line="360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Gli </w:t>
      </w:r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 xml:space="preserve">instant payments rappresentano una vera rivoluzione nel mondo dei pagamenti, consentendo di </w:t>
      </w:r>
      <w:r w:rsidRPr="00451ED5">
        <w:rPr>
          <w:rStyle w:val="Nessuno"/>
          <w:b/>
          <w:color w:val="75787B"/>
          <w:spacing w:val="-1"/>
          <w:sz w:val="22"/>
          <w:szCs w:val="22"/>
          <w:u w:color="75787B"/>
        </w:rPr>
        <w:t>trasferire denaro da conto a conto in pochi secondi</w:t>
      </w:r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>, 24 ore al giorno, 365 giorni l’anno. Numerosi i nuovi casi d’uso per aziende e privati: dalla compravendita di beni usati alle spedizioni a domicilio, fino allo sblocco delle forniture o all’instant cash management per le aziende. Attesi forti benefici in termini di efficienza operativa e risparmi di costo legati a minore uso del contante e degli strumenti cartacei (es. assegni).</w:t>
      </w:r>
    </w:p>
    <w:p w:rsidR="00CD4559" w:rsidRDefault="00451ED5" w:rsidP="00CD4559">
      <w:pPr>
        <w:spacing w:after="225" w:line="360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 xml:space="preserve">La piattaforma di Nexi è stata sviluppata in piena conformità alle specifiche del nuovo schema “Sct inst” definite dall’EPC (European Payment Council) a livello europeo, in partenza contemporanea in tutta Europa da oggi. La tecnologia utilizzata da Nexi deriva da un sistema già utilizzato da alcune banche leader sul mercato scandinavo, ed è quindi già testata con </w:t>
      </w:r>
      <w:r w:rsidRPr="00451ED5">
        <w:rPr>
          <w:rStyle w:val="Nessuno"/>
          <w:b/>
          <w:color w:val="75787B"/>
          <w:spacing w:val="-1"/>
          <w:sz w:val="22"/>
          <w:szCs w:val="22"/>
          <w:u w:color="75787B"/>
        </w:rPr>
        <w:t>tempi di risposta inferiori ai 250 millisecondi, su volumi di oltre 100mio di transazioni/anno e con livello di servizio prossimi al 100</w:t>
      </w:r>
      <w:r w:rsidRPr="00CD4559">
        <w:rPr>
          <w:rStyle w:val="Nessuno"/>
          <w:color w:val="75787B"/>
          <w:spacing w:val="-1"/>
          <w:sz w:val="22"/>
          <w:szCs w:val="22"/>
          <w:u w:color="75787B"/>
        </w:rPr>
        <w:t>%</w:t>
      </w:r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 xml:space="preserve">. </w:t>
      </w:r>
      <w:r w:rsidR="00CD4559" w:rsidRPr="00CD4559">
        <w:rPr>
          <w:rStyle w:val="Nessuno"/>
          <w:color w:val="75787B"/>
          <w:spacing w:val="-1"/>
          <w:sz w:val="22"/>
          <w:szCs w:val="22"/>
          <w:u w:color="75787B"/>
        </w:rPr>
        <w:t>Il regolamento delle posizioni avverrà nel sistema di compensazione della Banca d’Ital</w:t>
      </w:r>
      <w:r w:rsidR="00892C2C">
        <w:rPr>
          <w:rStyle w:val="Nessuno"/>
          <w:color w:val="75787B"/>
          <w:spacing w:val="-1"/>
          <w:sz w:val="22"/>
          <w:szCs w:val="22"/>
          <w:u w:color="75787B"/>
        </w:rPr>
        <w:t>ia BI-COMP</w:t>
      </w:r>
      <w:r w:rsidR="00CD4559">
        <w:rPr>
          <w:rStyle w:val="Nessuno"/>
          <w:color w:val="75787B"/>
          <w:spacing w:val="-1"/>
          <w:sz w:val="22"/>
          <w:szCs w:val="22"/>
          <w:u w:color="75787B"/>
        </w:rPr>
        <w:t>, da oggi aperto alla nuova</w:t>
      </w:r>
      <w:r w:rsidR="00CD4559" w:rsidRPr="00CD4559">
        <w:rPr>
          <w:rStyle w:val="Nessuno"/>
          <w:color w:val="75787B"/>
          <w:spacing w:val="-1"/>
          <w:sz w:val="22"/>
          <w:szCs w:val="22"/>
          <w:u w:color="75787B"/>
        </w:rPr>
        <w:t xml:space="preserve"> tipologia di pagamento.</w:t>
      </w:r>
    </w:p>
    <w:p w:rsidR="000330F8" w:rsidRDefault="000330F8" w:rsidP="000330F8">
      <w:pPr>
        <w:pStyle w:val="Testonormale"/>
        <w:spacing w:after="225" w:line="360" w:lineRule="auto"/>
        <w:rPr>
          <w:rStyle w:val="Nessuno"/>
          <w:rFonts w:ascii="Arial" w:eastAsia="Arial Unicode MS" w:hAnsi="Arial" w:cs="Arial Unicode MS"/>
          <w:color w:val="75787B"/>
          <w:spacing w:val="-1"/>
          <w:szCs w:val="22"/>
          <w:u w:color="75787B"/>
          <w:bdr w:val="nil"/>
          <w:lang w:eastAsia="it-IT"/>
        </w:rPr>
      </w:pPr>
      <w:r w:rsidRPr="000330F8">
        <w:rPr>
          <w:rStyle w:val="Nessuno"/>
          <w:rFonts w:ascii="Arial" w:eastAsia="Arial Unicode MS" w:hAnsi="Arial" w:cs="Arial Unicode MS"/>
          <w:color w:val="75787B"/>
          <w:spacing w:val="-1"/>
          <w:szCs w:val="22"/>
          <w:u w:color="75787B"/>
          <w:bdr w:val="nil"/>
          <w:lang w:eastAsia="it-IT"/>
        </w:rPr>
        <w:t xml:space="preserve">L'accordo con </w:t>
      </w:r>
      <w:r w:rsidRPr="000330F8">
        <w:rPr>
          <w:rStyle w:val="Nessuno"/>
          <w:rFonts w:ascii="Arial" w:eastAsia="Arial Unicode MS" w:hAnsi="Arial" w:cs="Arial Unicode MS"/>
          <w:b/>
          <w:color w:val="75787B"/>
          <w:spacing w:val="-1"/>
          <w:szCs w:val="22"/>
          <w:u w:color="75787B"/>
          <w:bdr w:val="nil"/>
          <w:lang w:eastAsia="it-IT"/>
        </w:rPr>
        <w:t>EBA Clearing</w:t>
      </w:r>
      <w:r w:rsidRPr="000330F8">
        <w:rPr>
          <w:rStyle w:val="Nessuno"/>
          <w:rFonts w:ascii="Arial" w:eastAsia="Arial Unicode MS" w:hAnsi="Arial" w:cs="Arial Unicode MS"/>
          <w:color w:val="75787B"/>
          <w:spacing w:val="-1"/>
          <w:szCs w:val="22"/>
          <w:u w:color="75787B"/>
          <w:bdr w:val="nil"/>
          <w:lang w:eastAsia="it-IT"/>
        </w:rPr>
        <w:t xml:space="preserve"> consentirà l’interoperabilità con la piattaforma europea, garantendo la </w:t>
      </w:r>
      <w:proofErr w:type="spellStart"/>
      <w:r w:rsidRPr="000330F8">
        <w:rPr>
          <w:rStyle w:val="Nessuno"/>
          <w:rFonts w:ascii="Arial" w:eastAsia="Arial Unicode MS" w:hAnsi="Arial" w:cs="Arial Unicode MS"/>
          <w:color w:val="75787B"/>
          <w:spacing w:val="-1"/>
          <w:szCs w:val="22"/>
          <w:u w:color="75787B"/>
          <w:bdr w:val="nil"/>
          <w:lang w:eastAsia="it-IT"/>
        </w:rPr>
        <w:t>raggiungibilita'</w:t>
      </w:r>
      <w:proofErr w:type="spellEnd"/>
      <w:r w:rsidRPr="000330F8">
        <w:rPr>
          <w:rStyle w:val="Nessuno"/>
          <w:rFonts w:ascii="Arial" w:eastAsia="Arial Unicode MS" w:hAnsi="Arial" w:cs="Arial Unicode MS"/>
          <w:color w:val="75787B"/>
          <w:spacing w:val="-1"/>
          <w:szCs w:val="22"/>
          <w:u w:color="75787B"/>
          <w:bdr w:val="nil"/>
          <w:lang w:eastAsia="it-IT"/>
        </w:rPr>
        <w:t xml:space="preserve"> di tutte le banche europee che progressivamente saranno attive sul sistema internazionale</w:t>
      </w:r>
    </w:p>
    <w:p w:rsidR="008874FB" w:rsidRPr="008874FB" w:rsidRDefault="008874FB" w:rsidP="008874FB">
      <w:pPr>
        <w:spacing w:before="225" w:line="360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proofErr w:type="spellStart"/>
      <w:r w:rsidRPr="008874FB">
        <w:rPr>
          <w:rStyle w:val="Nessuno"/>
          <w:b/>
          <w:color w:val="75787B"/>
          <w:spacing w:val="-1"/>
          <w:sz w:val="22"/>
          <w:szCs w:val="22"/>
          <w:u w:color="75787B"/>
        </w:rPr>
        <w:t>Creval</w:t>
      </w:r>
      <w:proofErr w:type="spellEnd"/>
      <w:r w:rsidRPr="008874FB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Pr="008874FB">
        <w:rPr>
          <w:rStyle w:val="Nessuno"/>
          <w:color w:val="75787B"/>
          <w:spacing w:val="-1"/>
          <w:sz w:val="22"/>
          <w:szCs w:val="22"/>
          <w:u w:color="75787B"/>
        </w:rPr>
        <w:t xml:space="preserve">sarà la prima banca pilota. Da domani pomeriggio effettuerà i primi test in produzione. Nel corso del Salone dei Pagamenti previsto questa settimana sarà possibile testare i primi bonifici istantanei tra </w:t>
      </w:r>
      <w:proofErr w:type="spellStart"/>
      <w:r w:rsidRPr="008874FB">
        <w:rPr>
          <w:rStyle w:val="Nessuno"/>
          <w:color w:val="75787B"/>
          <w:spacing w:val="-1"/>
          <w:sz w:val="22"/>
          <w:szCs w:val="22"/>
          <w:u w:color="75787B"/>
        </w:rPr>
        <w:t>Creval</w:t>
      </w:r>
      <w:proofErr w:type="spellEnd"/>
      <w:r w:rsidRPr="008874FB">
        <w:rPr>
          <w:rStyle w:val="Nessuno"/>
          <w:color w:val="75787B"/>
          <w:spacing w:val="-1"/>
          <w:sz w:val="22"/>
          <w:szCs w:val="22"/>
          <w:u w:color="75787B"/>
        </w:rPr>
        <w:t xml:space="preserve"> e </w:t>
      </w:r>
      <w:bookmarkStart w:id="0" w:name="_GoBack"/>
      <w:bookmarkEnd w:id="0"/>
      <w:proofErr w:type="spellStart"/>
      <w:r w:rsidRPr="008874FB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8874FB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:rsidR="008874FB" w:rsidRPr="000330F8" w:rsidRDefault="008874FB" w:rsidP="000330F8">
      <w:pPr>
        <w:pStyle w:val="Testonormale"/>
        <w:spacing w:after="225" w:line="360" w:lineRule="auto"/>
        <w:rPr>
          <w:rStyle w:val="Nessuno"/>
          <w:rFonts w:ascii="Arial" w:eastAsia="Arial Unicode MS" w:hAnsi="Arial" w:cs="Arial Unicode MS"/>
          <w:color w:val="75787B"/>
          <w:spacing w:val="-1"/>
          <w:szCs w:val="22"/>
          <w:u w:color="75787B"/>
          <w:bdr w:val="nil"/>
          <w:lang w:eastAsia="it-IT"/>
        </w:rPr>
      </w:pPr>
    </w:p>
    <w:p w:rsidR="009F1AD0" w:rsidRDefault="009F1AD0" w:rsidP="009F1AD0">
      <w:pPr>
        <w:spacing w:after="225" w:line="360" w:lineRule="auto"/>
        <w:rPr>
          <w:rStyle w:val="Nessuno"/>
          <w:color w:val="75787B"/>
          <w:spacing w:val="-1"/>
          <w:sz w:val="22"/>
          <w:szCs w:val="22"/>
          <w:u w:color="75787B"/>
        </w:rPr>
      </w:pPr>
      <w:r w:rsidRPr="009F1AD0">
        <w:rPr>
          <w:rStyle w:val="Nessuno"/>
          <w:color w:val="75787B"/>
          <w:spacing w:val="-1"/>
          <w:sz w:val="22"/>
          <w:szCs w:val="22"/>
          <w:u w:color="75787B"/>
        </w:rPr>
        <w:t xml:space="preserve">A seguire è prevista la partenza di un pilota anche con </w:t>
      </w:r>
      <w:r w:rsidRPr="009F1AD0">
        <w:rPr>
          <w:rStyle w:val="Nessuno"/>
          <w:b/>
          <w:color w:val="75787B"/>
          <w:spacing w:val="-1"/>
          <w:sz w:val="22"/>
          <w:szCs w:val="22"/>
          <w:u w:color="75787B"/>
        </w:rPr>
        <w:t>Banca Monte dei Paschi di Siena</w:t>
      </w:r>
      <w:r w:rsidRPr="009F1AD0">
        <w:rPr>
          <w:rStyle w:val="Nessuno"/>
          <w:color w:val="75787B"/>
          <w:spacing w:val="-1"/>
          <w:sz w:val="22"/>
          <w:szCs w:val="22"/>
          <w:u w:color="75787B"/>
        </w:rPr>
        <w:t xml:space="preserve"> che ha avviato gli sviluppi del servizio, con rilascio ipotizzato entro il 2 trimestre del prossimo anno.</w:t>
      </w:r>
    </w:p>
    <w:p w:rsidR="0036660A" w:rsidRDefault="0036660A" w:rsidP="009F1AD0">
      <w:pPr>
        <w:spacing w:after="225" w:line="360" w:lineRule="auto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6660A" w:rsidRPr="009F1AD0" w:rsidRDefault="0036660A" w:rsidP="009F1AD0">
      <w:pPr>
        <w:spacing w:after="225" w:line="360" w:lineRule="auto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1B78BB" w:rsidRDefault="001B78BB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D559A6" w:rsidRDefault="00D559A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Pr="001223EF" w:rsidRDefault="00AA1564">
      <w:pPr>
        <w:spacing w:line="260" w:lineRule="exact"/>
        <w:jc w:val="both"/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</w:pPr>
      <w:r w:rsidRPr="001223EF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 xml:space="preserve">External Communication &amp; Media Relations </w:t>
      </w:r>
      <w:r w:rsidR="003350B7" w:rsidRPr="001223EF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 xml:space="preserve">- </w:t>
      </w:r>
      <w:r w:rsidRPr="001223EF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>Nexi</w:t>
      </w:r>
    </w:p>
    <w:p w:rsidR="00AA1564" w:rsidRPr="001223EF" w:rsidRDefault="00AA1564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AA1564" w:rsidRPr="001223EF" w:rsidRDefault="00AA1564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1223EF">
        <w:rPr>
          <w:rStyle w:val="Nessuno"/>
          <w:color w:val="75787B"/>
          <w:spacing w:val="-1"/>
          <w:sz w:val="22"/>
          <w:szCs w:val="22"/>
          <w:u w:color="75787B"/>
        </w:rPr>
        <w:t>Daniele de Sanctis</w:t>
      </w:r>
      <w:r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</w:p>
    <w:p w:rsidR="00AA1564" w:rsidRPr="001223EF" w:rsidRDefault="00CC708A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hyperlink r:id="rId7" w:history="1">
        <w:r w:rsidR="00AA1564" w:rsidRPr="001223EF">
          <w:rPr>
            <w:rStyle w:val="Nessuno"/>
            <w:color w:val="75787B"/>
            <w:sz w:val="22"/>
            <w:szCs w:val="22"/>
          </w:rPr>
          <w:t>daniele.desanctis@nexi.it</w:t>
        </w:r>
      </w:hyperlink>
      <w:r w:rsidR="00AA1564"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1223EF">
        <w:rPr>
          <w:rStyle w:val="Nessuno"/>
          <w:color w:val="75787B"/>
          <w:spacing w:val="-1"/>
          <w:sz w:val="22"/>
          <w:szCs w:val="22"/>
          <w:u w:color="75787B"/>
        </w:rPr>
        <w:br/>
        <w:t>346.015.1000</w:t>
      </w:r>
      <w:r w:rsidR="00AA1564"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AA1564"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AA1564"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</w:p>
    <w:p w:rsidR="00AA1564" w:rsidRPr="003628E2" w:rsidRDefault="00AA1564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>02.3488.4491</w:t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CD2EE0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CD2EE0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CD2EE0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CD2EE0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CD2EE0">
        <w:rPr>
          <w:rStyle w:val="Nessuno"/>
          <w:color w:val="75787B"/>
          <w:spacing w:val="-1"/>
          <w:sz w:val="22"/>
          <w:szCs w:val="22"/>
          <w:u w:color="75787B"/>
        </w:rPr>
        <w:tab/>
      </w:r>
    </w:p>
    <w:p w:rsidR="00AA1564" w:rsidRDefault="00CD2EE0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Matteo Abbondanza</w:t>
      </w:r>
    </w:p>
    <w:p w:rsidR="001223EF" w:rsidRPr="00CD2EE0" w:rsidRDefault="001223EF" w:rsidP="001223E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>348.4068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>858</w:t>
      </w:r>
    </w:p>
    <w:p w:rsidR="001223EF" w:rsidRPr="003628E2" w:rsidRDefault="001223E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>02.3488.2202</w:t>
      </w:r>
    </w:p>
    <w:p w:rsidR="002D2E9E" w:rsidRPr="00CD2EE0" w:rsidRDefault="00CD2EE0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matteo.abbondanza@nexi.it</w:t>
      </w:r>
    </w:p>
    <w:p w:rsidR="005B67D9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</w:p>
    <w:p w:rsidR="00CD2EE0" w:rsidRPr="00CD2EE0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5B67D9" w:rsidRPr="00CD2EE0" w:rsidRDefault="005B67D9" w:rsidP="005B67D9">
      <w:pPr>
        <w:spacing w:line="260" w:lineRule="exact"/>
        <w:jc w:val="both"/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</w:pPr>
      <w:r w:rsidRPr="00CD2EE0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>Barabino &amp; Partners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Media Relations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Tel.: +39.02.72.02.35.35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 xml:space="preserve">Sabrina Ragone - </w:t>
      </w:r>
      <w:hyperlink r:id="rId8" w:history="1">
        <w:r w:rsidRPr="00CD2EE0">
          <w:rPr>
            <w:rStyle w:val="Nessuno"/>
            <w:color w:val="75787B"/>
            <w:sz w:val="22"/>
            <w:szCs w:val="22"/>
            <w:u w:color="75787B"/>
          </w:rPr>
          <w:t>s.ragone@barabino.it</w:t>
        </w:r>
      </w:hyperlink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 xml:space="preserve">Paola Cuccia - </w:t>
      </w:r>
      <w:hyperlink r:id="rId9" w:history="1">
        <w:r w:rsidRPr="00CD2EE0">
          <w:rPr>
            <w:rStyle w:val="Nessuno"/>
            <w:color w:val="75787B"/>
            <w:spacing w:val="-1"/>
            <w:sz w:val="22"/>
            <w:szCs w:val="22"/>
            <w:u w:color="75787B"/>
          </w:rPr>
          <w:t>p.cuccia@barabino.it</w:t>
        </w:r>
      </w:hyperlink>
      <w:r w:rsidRPr="00CD2EE0">
        <w:rPr>
          <w:rStyle w:val="Nessuno"/>
          <w:color w:val="75787B"/>
          <w:sz w:val="22"/>
          <w:szCs w:val="22"/>
          <w:u w:color="75787B"/>
        </w:rPr>
        <w:t xml:space="preserve"> 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Alessio Costa -</w:t>
      </w:r>
      <w:hyperlink r:id="rId10" w:history="1">
        <w:r w:rsidRPr="00CD2EE0">
          <w:rPr>
            <w:rStyle w:val="Nessuno"/>
            <w:color w:val="75787B"/>
            <w:spacing w:val="-1"/>
            <w:sz w:val="22"/>
            <w:szCs w:val="22"/>
            <w:u w:color="75787B"/>
          </w:rPr>
          <w:t>a.costa@barabino.it</w:t>
        </w:r>
      </w:hyperlink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sectPr w:rsidR="002D2E9E">
      <w:headerReference w:type="default" r:id="rId11"/>
      <w:footerReference w:type="default" r:id="rId12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8A" w:rsidRDefault="00CC708A">
      <w:pPr>
        <w:spacing w:line="240" w:lineRule="auto"/>
      </w:pPr>
      <w:r>
        <w:separator/>
      </w:r>
    </w:p>
  </w:endnote>
  <w:endnote w:type="continuationSeparator" w:id="0">
    <w:p w:rsidR="00CC708A" w:rsidRDefault="00CC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D559A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8A" w:rsidRDefault="00CC708A">
      <w:pPr>
        <w:spacing w:line="240" w:lineRule="auto"/>
      </w:pPr>
      <w:r>
        <w:separator/>
      </w:r>
    </w:p>
  </w:footnote>
  <w:footnote w:type="continuationSeparator" w:id="0">
    <w:p w:rsidR="00CC708A" w:rsidRDefault="00CC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6E0F462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38A668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2698AA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80EB42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B4478C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EE0514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FE16B6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CCAE1A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B2A7E2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330F8"/>
    <w:rsid w:val="000445BB"/>
    <w:rsid w:val="0005139B"/>
    <w:rsid w:val="00087762"/>
    <w:rsid w:val="0009149A"/>
    <w:rsid w:val="000A6F97"/>
    <w:rsid w:val="001223EF"/>
    <w:rsid w:val="001B78BB"/>
    <w:rsid w:val="001D1827"/>
    <w:rsid w:val="001F1203"/>
    <w:rsid w:val="002550D3"/>
    <w:rsid w:val="002D2E9E"/>
    <w:rsid w:val="00302628"/>
    <w:rsid w:val="0032148B"/>
    <w:rsid w:val="003350B7"/>
    <w:rsid w:val="00345459"/>
    <w:rsid w:val="003505E2"/>
    <w:rsid w:val="003628E2"/>
    <w:rsid w:val="0036660A"/>
    <w:rsid w:val="003707A9"/>
    <w:rsid w:val="003C5BEA"/>
    <w:rsid w:val="003C706C"/>
    <w:rsid w:val="003E2CB6"/>
    <w:rsid w:val="00451ED5"/>
    <w:rsid w:val="00494FD0"/>
    <w:rsid w:val="004A063B"/>
    <w:rsid w:val="004B1BE6"/>
    <w:rsid w:val="005044FF"/>
    <w:rsid w:val="005731BE"/>
    <w:rsid w:val="005B67D9"/>
    <w:rsid w:val="005C5E4D"/>
    <w:rsid w:val="00614AC4"/>
    <w:rsid w:val="0064481E"/>
    <w:rsid w:val="00645440"/>
    <w:rsid w:val="006470AA"/>
    <w:rsid w:val="006579C0"/>
    <w:rsid w:val="006D67EE"/>
    <w:rsid w:val="00740E59"/>
    <w:rsid w:val="007B7D61"/>
    <w:rsid w:val="007D22A2"/>
    <w:rsid w:val="0088221E"/>
    <w:rsid w:val="008874FB"/>
    <w:rsid w:val="00892C2C"/>
    <w:rsid w:val="00913598"/>
    <w:rsid w:val="0093300E"/>
    <w:rsid w:val="00936C60"/>
    <w:rsid w:val="00954DE8"/>
    <w:rsid w:val="009F192C"/>
    <w:rsid w:val="009F1AD0"/>
    <w:rsid w:val="009F509D"/>
    <w:rsid w:val="00A151AB"/>
    <w:rsid w:val="00A73874"/>
    <w:rsid w:val="00AA1564"/>
    <w:rsid w:val="00AA4C0D"/>
    <w:rsid w:val="00B14155"/>
    <w:rsid w:val="00BD4175"/>
    <w:rsid w:val="00C71C58"/>
    <w:rsid w:val="00CC6246"/>
    <w:rsid w:val="00CC708A"/>
    <w:rsid w:val="00CD2EE0"/>
    <w:rsid w:val="00CD4559"/>
    <w:rsid w:val="00CF4DD7"/>
    <w:rsid w:val="00D17BC9"/>
    <w:rsid w:val="00D559A6"/>
    <w:rsid w:val="00D65324"/>
    <w:rsid w:val="00E31A74"/>
    <w:rsid w:val="00E46DB0"/>
    <w:rsid w:val="00E80B0B"/>
    <w:rsid w:val="00E859AD"/>
    <w:rsid w:val="00E86B4A"/>
    <w:rsid w:val="00EF09B7"/>
    <w:rsid w:val="00F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7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Calibri" w:eastAsiaTheme="minorHAnsi" w:hAnsi="Calibri" w:cs="Consolas"/>
      <w:color w:val="auto"/>
      <w:sz w:val="22"/>
      <w:szCs w:val="21"/>
      <w:bdr w:val="none" w:sz="0" w:space="0" w:color="auto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78BB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gone@barabin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e.desanctis@nex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costa@barab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cuccia@barab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Abbondanza Matteo</dc:creator>
  <cp:lastModifiedBy>Abbondanza Matteo</cp:lastModifiedBy>
  <cp:revision>21</cp:revision>
  <dcterms:created xsi:type="dcterms:W3CDTF">2017-11-21T10:27:00Z</dcterms:created>
  <dcterms:modified xsi:type="dcterms:W3CDTF">2017-11-21T15:44:00Z</dcterms:modified>
</cp:coreProperties>
</file>